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PRAMANA</w:t>
      </w:r>
    </w:p>
    <w:p>
      <w:r>
        <w:rPr>
          <w:b/>
          <w:i w:val="0"/>
          <w:sz w:val="26"/>
        </w:rPr>
        <w:t>솔로 + AI 체계적 주식 검증 운영체계(Systematic Equity Validation OS)와</w:t>
      </w:r>
    </w:p>
    <w:p>
      <w:r>
        <w:rPr>
          <w:b/>
          <w:i w:val="0"/>
          <w:sz w:val="26"/>
        </w:rPr>
        <w:t>사전등록 가설 8세대의 정직한 Negative Results에 관한 연구</w:t>
      </w:r>
    </w:p>
    <w:p>
      <w:r>
        <w:rPr>
          <w:b w:val="0"/>
          <w:i/>
          <w:color w:val="808080"/>
          <w:sz w:val="20"/>
        </w:rPr>
        <w:t>— 레버리지·예측 모델 없이 SPY/QQQ 위험조정 초과 알파의 부재를 실증하고, 재사용 가능한 검증 프레임워크와 생존형 코어를 도출하다 —</w:t>
      </w:r>
    </w:p>
    <w:p>
      <w:r>
        <w:rPr>
          <w:b w:val="0"/>
          <w:i w:val="0"/>
          <w:color w:val="808080"/>
          <w:sz w:val="18"/>
        </w:rPr>
        <w:t>PAPER only · NO LIVE · 가상자본 ₩100M · 2026-06-13</w:t>
      </w:r>
    </w:p>
    <w:p>
      <w:pPr>
        <w:pStyle w:val="Heading1"/>
      </w:pPr>
      <w:r>
        <w:rPr>
          <w:color w:val="1F3864"/>
        </w:rPr>
        <w:t>초록 (Abstract)</w:t>
      </w:r>
    </w:p>
    <w:p>
      <w:r>
        <w:rPr>
          <w:b w:val="0"/>
          <w:i w:val="0"/>
          <w:sz w:val="21"/>
        </w:rPr>
        <w:t>본 연구는 개인(solo) 연구자가 AI(LLM)를 보조 엔진으로 활용하여, 미국 주식·ETF를 대상으로 *검증 가능한* 체계적 알파를 탐색·검증하는 운영체계 PRAMANA를 구축한 기록이다. 핵심 방법론은 '데이터 정직성 → 비용 정직성 → 검증 통과 → 그 다음에야 모델 비교'라는 순서 잠금과, 모든 가설에 대한 **사전등록(pre-registration)·OOS·비용후·look-ahead 차단·적대적 AI 검수(adversarial council)·사전 kill 조건**의 일관 적용이다. 단순/선형 횡단면 팩터, 결합·트리·ML, 레버리지 베타, 4종의 마켓타이밍, intraday 급등주 setup, 그리고 정성(8-K 공시) 텍스트에 이르기까지 **8세대의 가설을 검증한 결과, 공개·저가 데이터 환경에서 개인이 SPY/QQQ를 위험조정 기준 반복적으로 초과하는 '매수형 알파'는 발견되지 않았다.** 이는 efficient market 가설, SPIVA(액티브 펀드 79%가 인덱스 미달), Gu-Kelly-Xiu(2020, ML 월 OOS R² 0.33–0.40%)와 정합하는 robust negative이다. 그러나 본 연구는 (1) 재사용 가능한 검증 OS, (2) 자체구축 PIT 벤치마크(실제 SPY와 corr 0.998), (3) 위험조정상 우월한 생존형 분산 코어(V7 4-sleeve), (4) 일관된 '악재 공시 회피' 필터, (5) 가짜 알파를 자본 투입 전에 제거하는 규율을 산출하였다.</w:t>
      </w:r>
    </w:p>
    <w:p>
      <w:pPr>
        <w:pStyle w:val="Heading1"/>
      </w:pPr>
      <w:r>
        <w:rPr>
          <w:color w:val="1F3864"/>
        </w:rPr>
        <w:t>1. 연구 배경 및 목적</w:t>
      </w:r>
    </w:p>
    <w:p>
      <w:r>
        <w:rPr>
          <w:b w:val="0"/>
          <w:i w:val="0"/>
          <w:sz w:val="21"/>
        </w:rPr>
        <w:t>'좋은 종목을 찍는 AI'가 아니라, **개인/소규모 팀이 AI와 함께 운영 가능한 체계적 주식 연구·검증·페이퍼 트레이딩 OS**를 구축하는 것이 목적이다. 통상의 퀀트 연구가 '모델을 먼저 고르고 백테스트가 좋게 나오는' 순서로 인해 비용 과소추정·미래정보 누수·생존편향에 취약하다는 문제의식에서 출발하여, 검증을 *모델보다 앞에* 두는 역순 설계를 채택했다.</w:t>
      </w:r>
    </w:p>
    <w:p>
      <w:pPr>
        <w:pStyle w:val="Heading1"/>
      </w:pPr>
      <w:r>
        <w:rPr>
          <w:color w:val="1F3864"/>
        </w:rPr>
        <w:t>2. 방법론 (Methodology) — 본 연구의 핵심 기여</w:t>
      </w:r>
    </w:p>
    <w:p>
      <w:r>
        <w:rPr>
          <w:b w:val="0"/>
          <w:i/>
          <w:sz w:val="21"/>
        </w:rPr>
        <w:t>알파의 *발견*이 아니라 알파 주장의 *반증 가능성(falsifiability)*을 방법론의 중심에 두었다.</w:t>
      </w:r>
    </w:p>
    <w:p>
      <w:pPr>
        <w:pStyle w:val="ListBullet"/>
      </w:pPr>
      <w:r>
        <w:rPr>
          <w:sz w:val="20"/>
        </w:rPr>
        <w:t>순서 잠금: data honesty → cost honesty → validation → then models (모델은 마지막).</w:t>
      </w:r>
    </w:p>
    <w:p>
      <w:pPr>
        <w:pStyle w:val="ListBullet"/>
      </w:pPr>
      <w:r>
        <w:rPr>
          <w:sz w:val="20"/>
        </w:rPr>
        <w:t>사전등록(pre-registration): 모든 실험은 결과를 보기 *전에* 가설·비교군·kill 조건을 문서로 고정(goalpost 이동 = config-mining 금지).</w:t>
      </w:r>
    </w:p>
    <w:p>
      <w:pPr>
        <w:pStyle w:val="ListBullet"/>
      </w:pPr>
      <w:r>
        <w:rPr>
          <w:sz w:val="20"/>
        </w:rPr>
        <w:t>Look-ahead 차단: next-bar 체결, PIT(point-in-time) 멤버십, acceptance-timestamp 기준 진입.</w:t>
      </w:r>
    </w:p>
    <w:p>
      <w:pPr>
        <w:pStyle w:val="ListBullet"/>
      </w:pPr>
      <w:r>
        <w:rPr>
          <w:sz w:val="20"/>
        </w:rPr>
        <w:t>OOS·비용후: walk-forward + 최종 untouched holdout, 거래비용·턴오버·세금 반영.</w:t>
      </w:r>
    </w:p>
    <w:p>
      <w:pPr>
        <w:pStyle w:val="ListBullet"/>
      </w:pPr>
      <w:r>
        <w:rPr>
          <w:sz w:val="20"/>
        </w:rPr>
        <w:t>적대적 AI 검수(Adversarial Council): Claude(설계) ↔ Codex(반증) 2모델이 look-ahead·survivorship·overfit·hidden-coupling을 상호 공격(no-echo).</w:t>
      </w:r>
    </w:p>
    <w:p>
      <w:pPr>
        <w:pStyle w:val="ListBullet"/>
      </w:pPr>
      <w:r>
        <w:rPr>
          <w:sz w:val="20"/>
        </w:rPr>
        <w:t>다중검정 통제: trial registry·deflated Sharpe·DSR/PBO 개념 적용.</w:t>
      </w:r>
    </w:p>
    <w:p>
      <w:pPr>
        <w:pStyle w:val="ListBullet"/>
      </w:pPr>
      <w:r>
        <w:rPr>
          <w:sz w:val="20"/>
        </w:rPr>
        <w:t>판정 라벨 분리: capital-veto(자본권한)와 research-veto(연구개방)를 분리 — 연구는 자본권한 0으로 개방.</w:t>
      </w:r>
    </w:p>
    <w:p>
      <w:pPr>
        <w:pStyle w:val="Heading1"/>
      </w:pPr>
      <w:r>
        <w:rPr>
          <w:color w:val="1F3864"/>
        </w:rPr>
        <w:t>3. 실험 연대기 (8세대) — 무엇을 검증했고 무엇이 죽었나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세대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가설/접근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핵심 근거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단순 횡단면 팩터(value/momentum/quality/lowvol)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Rank IC ≈ 0 · quality decay(0.22→0.046)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결합·ridge·GBM·tree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OOS net vs cap-weight 음수 (GKX와 정합)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event/earnings drift(숫자 surprise)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vs cap-weight −0.90%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trend+LETF 위성·VRP·mean-reversion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REJECT/노이즈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+0.15%/yr 노이즈 · tail −92% · turnover 3660%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V4–V6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Beta · 레버드 베타 · 분산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알파 아님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V5 Sharpe≈QQQ(레버지 알파 아님)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4-sleeve 분산 코어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생존코어(채택)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Sharpe 1.21·MDD −18% / 단 누적 절반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Levered 4-sleeve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닷컴 proxy −49%(레버 꼬리)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마켓타이밍 4종(regime/throttle/derisk/MT-1)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4전 4패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모두 static 4-sleeve 미달(후행신호 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intraday 급등주 setup(ORB/VWAP/RVOL)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RVOL look-ahead 누수·강세장 베타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8-K 정성 catalyst(POS) / (NEG)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 FAIL / NEG 일관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사는 알파 없음 / 악재 회피는 일관 신호</w:t>
            </w:r>
          </w:p>
        </w:tc>
      </w:tr>
    </w:tbl>
    <w:p>
      <w:pPr>
        <w:pStyle w:val="Heading1"/>
      </w:pPr>
      <w:r>
        <w:rPr>
          <w:color w:val="1F3864"/>
        </w:rPr>
        <w:t>4. 핵심 결과 (Results)</w:t>
      </w:r>
    </w:p>
    <w:p>
      <w:r>
        <w:rPr>
          <w:b/>
          <w:i w:val="0"/>
          <w:sz w:val="21"/>
        </w:rPr>
        <w:t>4.1 멀티앵커 성과 (비용후·in-sample) — 분산 코어 V7 vs 인덱스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진입 시점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V7 4-sleeve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QQQ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+4.6% / −5% / Sh 1.41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+20.2% / −7% / 3.42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+11.1% / −6% / 2.84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+8.4% / −7% / 1.29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+14.9% / −12% / 1.54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+7.7% / −9% / 1.17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+26.5% / −7% / 2.13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+35.3% / −12% / 1.85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+24.1% / −9% / 1.82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풀(2019~)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+174.9% / −18% / 1.21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+305% / −35% / 0.94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+186% / −34% / 0.86</w:t>
            </w:r>
          </w:p>
        </w:tc>
      </w:tr>
    </w:tbl>
    <w:p>
      <w:r>
        <w:rPr>
          <w:b w:val="0"/>
          <w:i/>
          <w:sz w:val="20"/>
        </w:rPr>
        <w:t>→ V7은 모든 구간에서 누적수익을 인덱스에 양보하는 대신 MDD를 절반으로 줄이고 위험조정(Sharpe)을 개선한다. 즉 '초과수익(알파)'이 아니라 '위험효율(분산 프리미엄)'이며, 최대복리 목적함수에서는 인덱스가 우월하다.</w:t>
      </w:r>
    </w:p>
    <w:p>
      <w:r>
        <w:rPr>
          <w:b/>
          <w:i w:val="0"/>
          <w:sz w:val="21"/>
        </w:rPr>
        <w:t>4.2 메타 패턴 (가장 중요한 발견)</w:t>
      </w:r>
    </w:p>
    <w:p>
      <w:r>
        <w:rPr>
          <w:b w:val="0"/>
          <w:i w:val="0"/>
          <w:sz w:val="21"/>
        </w:rPr>
        <w:t>모든 횡단면 신호군이 1/N(동일가중)은 이기지만 cap-weight(시가총액 가중) 인덱스는 이기지 못했다. 일관된 원인은 2016–2026년의 '메가캡 지배 레짐'이다. 횡단면 틸트는 *신호의 우열과 무관하게* 이미 지배적인 소수 초대형주를 덜 담게 되므로 cap-weight 인덱스에 구조적으로 진다. 즉 패배는 '신호 부재'가 아니라 '벤치마크 구조'에서 기인한다.</w:t>
      </w:r>
    </w:p>
    <w:p>
      <w:r>
        <w:rPr>
          <w:b/>
          <w:i w:val="0"/>
          <w:sz w:val="21"/>
        </w:rPr>
        <w:t>4.3 정성(8-K) 결과 — 비대칭</w:t>
      </w:r>
    </w:p>
    <w:p>
      <w:r>
        <w:rPr>
          <w:b w:val="0"/>
          <w:i w:val="0"/>
          <w:sz w:val="21"/>
        </w:rPr>
        <w:t>좋은 공시(계약·실적) 매수는 OOS에서 실패(이미 가격 반영)한 반면, 나쁜 공시(희석·회계 문제·상폐위험)는 후폭풍이 수일간 지속되어 −0.75%의 일관된 음(−)의 drift를 보였다. → '사는 신호'는 없고 '피하는 필터'는 존재한다.</w:t>
      </w:r>
    </w:p>
    <w:p>
      <w:pPr>
        <w:pStyle w:val="Heading1"/>
      </w:pPr>
      <w:r>
        <w:rPr>
          <w:color w:val="1F3864"/>
        </w:rPr>
        <w:t>5. 논의 (Discussion) — 왜 개인이 어려운가</w:t>
      </w:r>
    </w:p>
    <w:p>
      <w:pPr>
        <w:pStyle w:val="ListBullet"/>
      </w:pPr>
      <w:r>
        <w:rPr>
          <w:sz w:val="20"/>
        </w:rPr>
        <w:t>정보이론적 한계: 모델은 정보를 *추출*할 뿐 *창조*하지 않는다. 공개·정형 데이터에 잔존 알파가 작으면 어떤 ML도 한계를 넘지 못한다(GKX 월 OOS R² ≈ 0.4%).</w:t>
      </w:r>
    </w:p>
    <w:p>
      <w:pPr>
        <w:pStyle w:val="ListBullet"/>
      </w:pPr>
      <w:r>
        <w:rPr>
          <w:sz w:val="20"/>
        </w:rPr>
        <w:t>벤치마크의 강도: SPY/QQQ는 '평균 개인'이 아니라 시장 집단지성·초저비용·세금효율·승자 비중확대를 내장. 프로 79%(SPIVA)도 미달.</w:t>
      </w:r>
    </w:p>
    <w:p>
      <w:pPr>
        <w:pStyle w:val="ListBullet"/>
      </w:pPr>
      <w:r>
        <w:rPr>
          <w:sz w:val="20"/>
        </w:rPr>
        <w:t>산업 vs 개인: XTX·Jane Street 등은 단일 모델이 아니라 미세구조·유동성공급·초저지연 체결·독점데이터·자본·조직의 *시스템*으로 수익을 낸다. 개인이 공개데이터로 복제 불가능한 게임이다.</w:t>
      </w:r>
    </w:p>
    <w:p>
      <w:pPr>
        <w:pStyle w:val="ListBullet"/>
      </w:pPr>
      <w:r>
        <w:rPr>
          <w:sz w:val="20"/>
        </w:rPr>
        <w:t>개인의 잔존 우위: (1) 행동 우위(폭락에서 매도하지 않는 규율), (2) 제약 우위(기관이 못 드는 극소형), (3) 정성 해석(LLM 보조), (4) 리스크 구조(생존형 분산). — 단 (1)·(4)가 실현수익에 가장 크게 기여.</w:t>
      </w:r>
    </w:p>
    <w:p>
      <w:pPr>
        <w:pStyle w:val="Heading1"/>
      </w:pPr>
      <w:r>
        <w:rPr>
          <w:color w:val="1F3864"/>
        </w:rPr>
        <w:t>6. 결론 (Conclusion)</w:t>
      </w:r>
    </w:p>
    <w:p>
      <w:r>
        <w:rPr>
          <w:b w:val="0"/>
          <w:i w:val="0"/>
          <w:sz w:val="21"/>
        </w:rPr>
        <w:t>공개·저가 데이터 환경에서 개인이 SPY/QQQ를 위험조정 기준 반복적으로 초과하는 매수형 알파는 발견되지 않았다(8세대 robust negative). 그러나 본 연구는 실패가 아니라 *증명 완료*이며, 다음을 산출하였다: ① 재사용 검증 OS, ② PIT 벤치마크(corr 0.998), ③ 위험효율 우월한 생존형 코어 V7, ④ 악재 공시 회피 필터, ⑤ 가짜 알파를 자본 투입 전에 제거하는 규율. 최종적으로 프로젝트는 위험을 정직하게 인정한 공격형 페이퍼 구조 **PRAMANA A1 — Catalyst Confirmed Attack Book**(레버 ETF 없이 이벤트·정성 catalyst·비대칭 베팅으로 QQQ 초과를 *시도*; 검증된 알파가 아닌 위험예산 기반 베팅)으로 재정의된다.</w:t>
      </w:r>
    </w:p>
    <w:p>
      <w:pPr>
        <w:pStyle w:val="Heading1"/>
      </w:pPr>
      <w:r>
        <w:rPr>
          <w:color w:val="1F3864"/>
        </w:rPr>
        <w:t>7. 한계 및 향후 과제 (Limitations)</w:t>
      </w:r>
    </w:p>
    <w:p>
      <w:pPr>
        <w:pStyle w:val="ListBullet"/>
      </w:pPr>
      <w:r>
        <w:rPr>
          <w:sz w:val="20"/>
        </w:rPr>
        <w:t>표본 기간(2016–2026)은 메가캡·저변동성 레짐에 편향 — 닷컴/2008은 proxy로만, forward MDD 과소추정 가능.</w:t>
      </w:r>
    </w:p>
    <w:p>
      <w:pPr>
        <w:pStyle w:val="ListBullet"/>
      </w:pPr>
      <w:r>
        <w:rPr>
          <w:sz w:val="20"/>
        </w:rPr>
        <w:t>in-sample/benign sample 위의 결론 — 모든 채택은 paper·자본권한 0·12개월 forward·2-feed reconciliation·사람 게이트 전 자본 금지.</w:t>
      </w:r>
    </w:p>
    <w:p>
      <w:pPr>
        <w:pStyle w:val="ListBullet"/>
      </w:pPr>
      <w:r>
        <w:rPr>
          <w:sz w:val="20"/>
        </w:rPr>
        <w:t>정성(LLM) 축은 baseline까지만 검증 — delayed recognition·LLM catalyst grade는 forward 관찰 대상.</w:t>
      </w:r>
    </w:p>
    <w:p>
      <w:pPr>
        <w:pStyle w:val="ListBullet"/>
      </w:pPr>
      <w:r>
        <w:rPr>
          <w:sz w:val="20"/>
        </w:rPr>
        <w:t>공매도·옵션·극소형은 솔로 실행 제약으로 미검증.</w:t>
      </w:r>
    </w:p>
    <w:p>
      <w:pPr>
        <w:pStyle w:val="Heading1"/>
      </w:pPr>
      <w:r>
        <w:rPr>
          <w:color w:val="1F3864"/>
        </w:rPr>
        <w:t>8. 학술적 기여 (Contribution)</w:t>
      </w:r>
    </w:p>
    <w:p>
      <w:r>
        <w:rPr>
          <w:b w:val="0"/>
          <w:i w:val="0"/>
          <w:sz w:val="21"/>
        </w:rPr>
        <w:t>본 연구의 기여는 '알파를 찾았다'가 아니라 '솔로+공개데이터 환경에서 알파의 부재를 *엄격한 사전등록·OOS·비용후·적대적 검수로 robust하게 실증*하고, 재사용 가능한 검증 프레임워크를 구축했다'는 데 있다. Negative result이되 방법론적 엄밀성과 재현성(clone 후 2-command 재현·데이터 해시 동결)을 갖춘 정직한 연구이며, AI(LLM)를 *예측 엔진이 아니라 적대적 검수·정성 구조화 보조*로 위치시킨 운영 모델을 제시한다.</w:t>
      </w:r>
    </w:p>
    <w:p>
      <w:r>
        <w:rPr>
          <w:b w:val="0"/>
          <w:i w:val="0"/>
          <w:sz w:val="12"/>
        </w:rPr>
      </w:r>
    </w:p>
    <w:p>
      <w:r>
        <w:rPr>
          <w:b w:val="0"/>
          <w:i/>
          <w:color w:val="808080"/>
          <w:sz w:val="17"/>
        </w:rPr>
        <w:t>부속 자료: PRAMANA_Lineage_Dossier.docx(v1~V8 계보·LOCK) · PRAMANA_All_Experiments_Ledger.md · PRAMANA_Conclusions_OneLine.md · PRAMANA_A1_Attack_Book_Final.md · 라이브 대시보드(outputs/*.html) · 코드/데이터 repo(PAPER, no live).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