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64"/>
          <w:szCs w:val="64"/>
        </w:rPr>
        <w:t xml:space="preserve">NationWide</w:t>
      </w:r>
    </w:p>
    <w:p>
      <w:pPr>
        <w:spacing w:after="400"/>
        <w:jc w:val="center"/>
      </w:pPr>
      <w:r>
        <w:rPr>
          <w:b/>
          <w:bCs/>
          <w:color w:val="1F3864"/>
          <w:sz w:val="40"/>
          <w:szCs w:val="40"/>
        </w:rPr>
        <w:t xml:space="preserve">Shipping &amp; Logistics Web Platform</w:t>
      </w:r>
    </w:p>
    <w:p>
      <w:pPr>
        <w:spacing w:after="800"/>
        <w:jc w:val="center"/>
      </w:pPr>
      <w:r>
        <w:rPr>
          <w:i/>
          <w:iCs/>
          <w:sz w:val="28"/>
          <w:szCs w:val="28"/>
        </w:rPr>
        <w:t xml:space="preserve">Architecture Research &amp; Technical Foundation Document</w:t>
      </w:r>
    </w:p>
    <w:p>
      <w:pPr>
        <w:spacing w:after="100"/>
        <w:jc w:val="center"/>
      </w:pPr>
      <w:r>
        <w:rPr>
          <w:sz w:val="22"/>
          <w:szCs w:val="22"/>
        </w:rPr>
        <w:t xml:space="preserve">Prepared for: Kapil Futuretech / NationWide Courier Client</w:t>
      </w:r>
    </w:p>
    <w:p>
      <w:pPr>
        <w:spacing w:after="100"/>
        <w:jc w:val="center"/>
      </w:pPr>
      <w:r>
        <w:rPr>
          <w:sz w:val="22"/>
          <w:szCs w:val="22"/>
        </w:rPr>
        <w:t xml:space="preserve">Date: July 21, 2026</w:t>
      </w:r>
    </w:p>
    <w:p>
      <w:r>
        <w:br w:type="page"/>
      </w:r>
    </w:p>
    <w:p>
      <w:pPr>
        <w:pStyle w:val="Heading1"/>
        <w:spacing w:after="200" w:before="300"/>
      </w:pPr>
      <w:r>
        <w:t xml:space="preserve">1. Executive Summary</w:t>
      </w:r>
    </w:p>
    <w:p>
      <w:pPr>
        <w:spacing w:after="160" w:line="276"/>
      </w:pPr>
      <w:r>
        <w:rPr>
          <w:sz w:val="22"/>
          <w:szCs w:val="22"/>
        </w:rPr>
        <w:t xml:space="preserve">NationWide (the client) runs a courier/shipping business that accepts orders directly from customers but fulfils the physical movement of goods through external logistics partners, currently ICL. The first product priority is a self-service shipment tracking experience: a customer enters the client's own tracking number and sees clean, normalized status information, without ever being exposed to ICL's tracking number, API, or internal workflow.</w:t>
      </w:r>
    </w:p>
    <w:p>
      <w:pPr>
        <w:spacing w:after="160" w:line="276"/>
      </w:pPr>
      <w:r>
        <w:rPr>
          <w:sz w:val="22"/>
          <w:szCs w:val="22"/>
        </w:rPr>
        <w:t xml:space="preserve">This document is the technical foundation for building that platform as a real production system rather than a brochure website. It recommends a modular monolith built with Next.js on the frontend and NestJS (Node.js/TypeScript) on the backend, backed by PostgreSQL, with a dedicated Provider Adapter layer that isolates ICL-specific logic behind a generic ShippingProvider interface so that DHL, FedEx, UPS, or any future partner can be added without rewriting the tracking, order, or customer systems.</w:t>
      </w:r>
    </w:p>
    <w:p>
      <w:pPr>
        <w:spacing w:after="160" w:line="276"/>
      </w:pPr>
      <w:r>
        <w:rPr>
          <w:sz w:val="22"/>
          <w:szCs w:val="22"/>
        </w:rPr>
        <w:t xml:space="preserve">Because ICL does not appear to publish a public developer API portal (see Section 12), the single most important non-technical next step is for the client to obtain formal API/EDI documentation and commercial API access from ICL. Section 31 provides an exact checklist for that conversation. Everything else in this document — the adapter architecture, caching strategy, database schema, and phased roadmap — is designed so that development can start now on the 90% of the system that does not depend on ICL's exact API shape, while the ICL-specific adapter is the last piece wired in.</w:t>
      </w:r>
    </w:p>
    <w:p>
      <w:pPr>
        <w:spacing w:after="160" w:line="276"/>
      </w:pPr>
      <w:r>
        <w:rPr>
          <w:sz w:val="22"/>
          <w:szCs w:val="22"/>
        </w:rPr>
        <w:t xml:space="preserve">The recommended path deliberately avoids overengineering: a single well-structured backend service (a "modular monolith") is sufficient from 100 customers through roughly 10,000–50,000 customers, deployed on a managed platform (Render, Railway, or DigitalOcean App Platform) rather than a hand-built Kubernetes cluster. The architecture is designed so that the same codebase can migrate to AWS ECS/RDS/ElastiCache with minimal rework if and when scale genuinely requires it, and so that background workers, queues, WhatsApp automation, and call automation can be added as independent modules without disturbing the tracking core.</w:t>
      </w:r>
    </w:p>
    <w:p>
      <w:pPr>
        <w:pStyle w:val="Heading1"/>
        <w:spacing w:after="200" w:before="300"/>
      </w:pPr>
      <w:r>
        <w:t xml:space="preserve">2. Understanding of the Business</w:t>
      </w:r>
    </w:p>
    <w:p>
      <w:pPr>
        <w:spacing w:after="160" w:line="276"/>
      </w:pPr>
      <w:r>
        <w:rPr>
          <w:sz w:val="22"/>
          <w:szCs w:val="22"/>
        </w:rPr>
        <w:t xml:space="preserve">NationWide is an order-taking and customer-relationship layer over third-party logistics capacity. The customer's entire relationship is with NationWide's brand; ICL (and future partners) are invisible fulfilment vendors. This is the same architectural pattern used by shipping aggregators and marketplaces (e.g., Shiprocket, ClickPost, EasyPost in the US) that sit in front of many carriers — which is reassuring, because it means the pattern this document recommends is proven at scale in this exact industry.</w:t>
      </w:r>
    </w:p>
    <w:p>
      <w:pPr>
        <w:spacing w:after="160" w:line="276"/>
      </w:pPr>
      <w:r>
        <w:rPr>
          <w:sz w:val="22"/>
          <w:szCs w:val="22"/>
        </w:rPr>
        <w:t xml:space="preserve">Two consequences follow from this business model. First, the client's own tracking number is the primary key the customer interacts with, and it must never be assumed to equal the carrier's tracking number — even though today there is exactly one downstream partner, the data model must treat the internal-to-external mapping as a first-class, many-provider-capable relationship from day one, because retrofitting that later means touching every table and every screen. Second, the client is exposed to ICL's operational risk (API downtime, rate limits, format changes, pricing changes) and the architecture must contain that risk — through caching, retries, circuit breakers, and clear error handling — so an ICL outage degrades gracefully rather than breaking the client's website.</w:t>
      </w:r>
    </w:p>
    <w:p>
      <w:pPr>
        <w:pStyle w:val="Heading1"/>
        <w:spacing w:after="200" w:before="300"/>
      </w:pPr>
      <w:r>
        <w:t xml:space="preserve">3. Functional Requirements</w:t>
      </w:r>
    </w:p>
    <w:p>
      <w:pPr>
        <w:spacing w:after="160" w:line="276"/>
      </w:pPr>
      <w:r>
        <w:rPr>
          <w:sz w:val="22"/>
          <w:szCs w:val="22"/>
        </w:rPr>
        <w:t xml:space="preserve">Customer-facing: enter a tracking number and view shipment status, view a timeline of tracking events (picked up, in transit, out for delivery, delivered, exception), receive WhatsApp/SMS/voice notifications on status changes, place a shipment order (implied by the business flow, even though tracking is phase one), and view order/shipment history if the customer has an account.</w:t>
      </w:r>
    </w:p>
    <w:p>
      <w:pPr>
        <w:spacing w:after="160" w:line="276"/>
      </w:pPr>
      <w:r>
        <w:rPr>
          <w:sz w:val="22"/>
          <w:szCs w:val="22"/>
        </w:rPr>
        <w:t xml:space="preserve">Staff/admin-facing: create and manage customers and orders, create shipments and generate internal tracking numbers, map internal tracking numbers to the corresponding ICL tracking number, view raw and normalized tracking data, manually override or correct tracking status when ICL data is wrong or delayed, monitor the health of the ICL integration (failed calls, rate-limit hits, stale data), and manage notification templates and logs.</w:t>
      </w:r>
    </w:p>
    <w:p>
      <w:pPr>
        <w:spacing w:after="160" w:line="276"/>
      </w:pPr>
      <w:r>
        <w:rPr>
          <w:sz w:val="22"/>
          <w:szCs w:val="22"/>
        </w:rPr>
        <w:t xml:space="preserve">System-level: the Provider Adapter layer must support adding a new shipping provider via configuration and a new adapter class, without changes to the Order, Customer, or Tracking domain models. The system must normalize each provider's distinct status vocabulary into one internal canonical status set so the frontend never needs provider-specific display logic.</w:t>
      </w:r>
    </w:p>
    <w:p>
      <w:pPr>
        <w:pStyle w:val="Heading1"/>
        <w:spacing w:after="200" w:before="300"/>
      </w:pPr>
      <w:r>
        <w:t xml:space="preserve">4. Non-Functional Requirements</w:t>
      </w:r>
    </w:p>
    <w:p>
      <w:pPr>
        <w:spacing w:after="160" w:line="276"/>
      </w:pPr>
      <w:r>
        <w:rPr>
          <w:sz w:val="22"/>
          <w:szCs w:val="22"/>
        </w:rPr>
        <w:t xml:space="preserve">Security: all customer and credential data encrypted in transit (TLS 1.2+) and sensitive fields at rest; ICL and other provider credentials held only in a secrets manager, never in source control or frontend code; role-based access control for staff vs admin vs customer.</w:t>
      </w:r>
    </w:p>
    <w:p>
      <w:pPr>
        <w:spacing w:after="160" w:line="276"/>
      </w:pPr>
      <w:r>
        <w:rPr>
          <w:sz w:val="22"/>
          <w:szCs w:val="22"/>
        </w:rPr>
        <w:t xml:space="preserve">Reliability: tracking lookups must not fail outright when ICL is slow or down — the system serves the last-known cached result with a clear "last updated" timestamp rather than an error page. Target availability for the customer-facing tracking page: 99.5% in year one, 99.9% as the platform matures.</w:t>
      </w:r>
    </w:p>
    <w:p>
      <w:pPr>
        <w:spacing w:after="160" w:line="276"/>
      </w:pPr>
      <w:r>
        <w:rPr>
          <w:sz w:val="22"/>
          <w:szCs w:val="22"/>
        </w:rPr>
        <w:t xml:space="preserve">Performance: cached tracking lookups should return in well under 300ms; live ICL calls should timeout and fall back within 5–8 seconds rather than hanging the request.</w:t>
      </w:r>
    </w:p>
    <w:p>
      <w:pPr>
        <w:spacing w:after="160" w:line="276"/>
      </w:pPr>
      <w:r>
        <w:rPr>
          <w:sz w:val="22"/>
          <w:szCs w:val="22"/>
        </w:rPr>
        <w:t xml:space="preserve">Maintainability: clear module boundaries (customer, order, shipment, tracking, provider-integration, notification) so a small team (1–4 engineers) can safely extend the system without a full rewrite as it grows.</w:t>
      </w:r>
    </w:p>
    <w:p>
      <w:pPr>
        <w:spacing w:after="160" w:line="276"/>
      </w:pPr>
      <w:r>
        <w:rPr>
          <w:sz w:val="22"/>
          <w:szCs w:val="22"/>
        </w:rPr>
        <w:t xml:space="preserve">Compliance: India's Digital Personal Data Protection Act (DPDP Act, 2023) governs customer personal data (name, phone, address) — consent capture, purpose limitation, and breach notification obligations apply. WhatsApp and voice automation must follow Meta's Business Messaging Policy and India's TRAI/DLT (Distributed Ledger Technology) regulations for commercial communication, respectively.</w:t>
      </w:r>
    </w:p>
    <w:p>
      <w:pPr>
        <w:pStyle w:val="Heading1"/>
        <w:spacing w:after="200" w:before="300"/>
      </w:pPr>
      <w:r>
        <w:t xml:space="preserve">5. Recommended System Architecture</w:t>
      </w:r>
    </w:p>
    <w:p>
      <w:pPr>
        <w:spacing w:after="160" w:line="276"/>
      </w:pPr>
      <w:r>
        <w:rPr>
          <w:sz w:val="22"/>
          <w:szCs w:val="22"/>
        </w:rPr>
        <w:t xml:space="preserve">The recommended architecture is a modular monolith: one deployable backend application internally organized into strict modules (Customer, Order, Shipment, Tracking, Provider-Integration, Notification, Admin, Auth), each with its own controllers, services, and repository layer, communicating through explicit interfaces rather than reaching into each other's database tables. This gives nearly all the maintainability benefits of microservices — clear ownership, replaceable modules, independent testing — without the operational cost of running and coordinating many separate services, which is not justified at the client's current or medium-term scale.</w:t>
      </w:r>
    </w:p>
    <w:p>
      <w:pPr>
        <w:spacing w:after="160" w:line="276"/>
      </w:pPr>
      <w:r>
        <w:rPr>
          <w:sz w:val="22"/>
          <w:szCs w:val="22"/>
        </w:rPr>
        <w:t xml:space="preserve">The complete request flow for a tracking lookup:</w:t>
      </w:r>
    </w:p>
    <w:p>
      <w:pPr>
        <w:pStyle w:val="ListParagraph"/>
        <w:numPr>
          <w:ilvl w:val="0"/>
          <w:numId w:val="2"/>
        </w:numPr>
        <w:spacing w:after="100"/>
      </w:pPr>
      <w:r>
        <w:rPr>
          <w:sz w:val="22"/>
          <w:szCs w:val="22"/>
        </w:rPr>
        <w:t xml:space="preserve">Customer Browser — submits the internal tracking number through the Next.js frontend.</w:t>
      </w:r>
    </w:p>
    <w:p>
      <w:pPr>
        <w:pStyle w:val="ListParagraph"/>
        <w:numPr>
          <w:ilvl w:val="0"/>
          <w:numId w:val="2"/>
        </w:numPr>
        <w:spacing w:after="100"/>
      </w:pPr>
      <w:r>
        <w:rPr>
          <w:sz w:val="22"/>
          <w:szCs w:val="22"/>
        </w:rPr>
        <w:t xml:space="preserve">Frontend (Next.js) — calls the backend's public REST API; never talks to ICL directly.</w:t>
      </w:r>
    </w:p>
    <w:p>
      <w:pPr>
        <w:pStyle w:val="ListParagraph"/>
        <w:numPr>
          <w:ilvl w:val="0"/>
          <w:numId w:val="2"/>
        </w:numPr>
        <w:spacing w:after="100"/>
      </w:pPr>
      <w:r>
        <w:rPr>
          <w:sz w:val="22"/>
          <w:szCs w:val="22"/>
        </w:rPr>
        <w:t xml:space="preserve">Backend API Gateway — receives the request, applies rate limiting and input validation (is this a plausibly-formatted tracking number?).</w:t>
      </w:r>
    </w:p>
    <w:p>
      <w:pPr>
        <w:pStyle w:val="ListParagraph"/>
        <w:numPr>
          <w:ilvl w:val="0"/>
          <w:numId w:val="2"/>
        </w:numPr>
        <w:spacing w:after="100"/>
      </w:pPr>
      <w:r>
        <w:rPr>
          <w:sz w:val="22"/>
          <w:szCs w:val="22"/>
        </w:rPr>
        <w:t xml:space="preserve">Authentication/Validation — tracking lookup is typically public/anonymous but rate-limited by IP and tracking number; authenticated endpoints (order history) verify JWT/session.</w:t>
      </w:r>
    </w:p>
    <w:p>
      <w:pPr>
        <w:pStyle w:val="ListParagraph"/>
        <w:numPr>
          <w:ilvl w:val="0"/>
          <w:numId w:val="2"/>
        </w:numPr>
        <w:spacing w:after="100"/>
      </w:pPr>
      <w:r>
        <w:rPr>
          <w:sz w:val="22"/>
          <w:szCs w:val="22"/>
        </w:rPr>
        <w:t xml:space="preserve">Business Logic (Tracking Service) — resolves the internal tracking number to a Shipment record and its associated ExternalTrackingNumber + ShippingProvider.</w:t>
      </w:r>
    </w:p>
    <w:p>
      <w:pPr>
        <w:pStyle w:val="ListParagraph"/>
        <w:numPr>
          <w:ilvl w:val="0"/>
          <w:numId w:val="2"/>
        </w:numPr>
        <w:spacing w:after="100"/>
      </w:pPr>
      <w:r>
        <w:rPr>
          <w:sz w:val="22"/>
          <w:szCs w:val="22"/>
        </w:rPr>
        <w:t xml:space="preserve">Cache Check — Tracking Service checks Redis/DB cache for a recent result honoring the refresh-interval rules (Section 12).</w:t>
      </w:r>
    </w:p>
    <w:p>
      <w:pPr>
        <w:pStyle w:val="ListParagraph"/>
        <w:numPr>
          <w:ilvl w:val="0"/>
          <w:numId w:val="2"/>
        </w:numPr>
        <w:spacing w:after="100"/>
      </w:pPr>
      <w:r>
        <w:rPr>
          <w:sz w:val="22"/>
          <w:szCs w:val="22"/>
        </w:rPr>
        <w:t xml:space="preserve">Provider Integration Layer — on a cache miss, the Tracking Service calls the generic ShippingProvider interface, which resolves to the concrete ICLAdapter.</w:t>
      </w:r>
    </w:p>
    <w:p>
      <w:pPr>
        <w:pStyle w:val="ListParagraph"/>
        <w:numPr>
          <w:ilvl w:val="0"/>
          <w:numId w:val="2"/>
        </w:numPr>
        <w:spacing w:after="100"/>
      </w:pPr>
      <w:r>
        <w:rPr>
          <w:sz w:val="22"/>
          <w:szCs w:val="22"/>
        </w:rPr>
        <w:t xml:space="preserve">ICL Adapter — translates the internal request into ICL's exact API contract, calls it, and receives ICL's raw response.</w:t>
      </w:r>
    </w:p>
    <w:p>
      <w:pPr>
        <w:pStyle w:val="ListParagraph"/>
        <w:numPr>
          <w:ilvl w:val="0"/>
          <w:numId w:val="2"/>
        </w:numPr>
        <w:spacing w:after="100"/>
      </w:pPr>
      <w:r>
        <w:rPr>
          <w:sz w:val="22"/>
          <w:szCs w:val="22"/>
        </w:rPr>
        <w:t xml:space="preserve">Response Normalization — the adapter maps ICL's proprietary status codes/fields into the platform's canonical TrackingEvent/TrackingStatus model.</w:t>
      </w:r>
    </w:p>
    <w:p>
      <w:pPr>
        <w:pStyle w:val="ListParagraph"/>
        <w:numPr>
          <w:ilvl w:val="0"/>
          <w:numId w:val="2"/>
        </w:numPr>
        <w:spacing w:after="100"/>
      </w:pPr>
      <w:r>
        <w:rPr>
          <w:sz w:val="22"/>
          <w:szCs w:val="22"/>
        </w:rPr>
        <w:t xml:space="preserve">Database/Cache Write — the normalized result is persisted (TrackingEvent history) and cached (current status) with a TTL.</w:t>
      </w:r>
    </w:p>
    <w:p>
      <w:pPr>
        <w:pStyle w:val="ListParagraph"/>
        <w:numPr>
          <w:ilvl w:val="0"/>
          <w:numId w:val="2"/>
        </w:numPr>
        <w:spacing w:after="100"/>
      </w:pPr>
      <w:r>
        <w:rPr>
          <w:sz w:val="22"/>
          <w:szCs w:val="22"/>
        </w:rPr>
        <w:t xml:space="preserve">Backend Response — the API returns the normalized JSON to the frontend.</w:t>
      </w:r>
    </w:p>
    <w:p>
      <w:pPr>
        <w:pStyle w:val="ListParagraph"/>
        <w:numPr>
          <w:ilvl w:val="0"/>
          <w:numId w:val="2"/>
        </w:numPr>
        <w:spacing w:after="100"/>
      </w:pPr>
      <w:r>
        <w:rPr>
          <w:sz w:val="22"/>
          <w:szCs w:val="22"/>
        </w:rPr>
        <w:t xml:space="preserve">Frontend Rendering — Next.js renders a clean timeline/status UI.</w:t>
      </w:r>
    </w:p>
    <w:p>
      <w:pPr>
        <w:pStyle w:val="ListParagraph"/>
        <w:numPr>
          <w:ilvl w:val="0"/>
          <w:numId w:val="2"/>
        </w:numPr>
        <w:spacing w:after="100"/>
      </w:pPr>
      <w:r>
        <w:rPr>
          <w:sz w:val="22"/>
          <w:szCs w:val="22"/>
        </w:rPr>
        <w:t xml:space="preserve">Customer — sees the result.</w:t>
      </w:r>
    </w:p>
    <w:p>
      <w:pPr>
        <w:spacing w:after="160" w:line="276"/>
      </w:pPr>
      <w:r>
        <w:rPr>
          <w:sz w:val="22"/>
          <w:szCs w:val="22"/>
        </w:rPr>
        <w:t xml:space="preserve">Key design rules: the frontend never sees an ICL tracking number, ICL API key, or ICL-specific field name — only the platform's canonical shipment/tracking JSON. Provider API keys live only in the backend's secrets manager/environment configuration, never in frontend bundles, mobile apps, or client-side code. All outbound calls to ICL go through a single well-tested HTTP client wrapper with timeout, retry-with-backoff, and circuit-breaker behavior, so one flaky partner cannot cascade into an outage of the client's own site. Errors from ICL (4xx, 5xx, timeout, malformed response) are caught, logged with correlation IDs, and translated into a small set of user-safe error states ("tracking not yet available", "temporarily unable to fetch live status, showing last known update") rather than leaking raw provider errors to the customer.</w:t>
      </w:r>
    </w:p>
    <w:p>
      <w:pPr>
        <w:spacing w:after="160" w:line="276"/>
      </w:pPr>
      <w:r>
        <w:rPr>
          <w:sz w:val="22"/>
          <w:szCs w:val="22"/>
        </w:rPr>
        <w:t xml:space="preserve">Whether tracking is cached, how long, and how it refreshes is covered in depth in Section 12 (Tracking Performance) — in short: cache-first with rule-based background refresh, not a live ICL call on every customer page view.</w:t>
      </w:r>
    </w:p>
    <w:p>
      <w:pPr>
        <w:pStyle w:val="Heading1"/>
        <w:spacing w:after="200" w:before="300"/>
      </w:pPr>
      <w:r>
        <w:t xml:space="preserve">6. Architecture Diagram</w:t>
      </w:r>
    </w:p>
    <w:p>
      <w:pPr>
        <w:spacing w:after="160" w:line="276"/>
      </w:pPr>
      <w:r>
        <w:rPr>
          <w:sz w:val="22"/>
          <w:szCs w:val="22"/>
        </w:rPr>
        <w:t xml:space="preserve">Customer-facing request path:</w:t>
      </w:r>
    </w:p>
    <w:p>
      <w:pPr>
        <w:shd w:fill="F2F2F2" w:val="clear"/>
        <w:spacing w:after="0"/>
      </w:pPr>
      <w:r>
        <w:rPr>
          <w:rFonts w:ascii="Consolas" w:cs="Consolas" w:eastAsia="Consolas" w:hAnsi="Consolas"/>
          <w:sz w:val="18"/>
          <w:szCs w:val="18"/>
        </w:rPr>
        <w:t xml:space="preserve">Customer Browser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Next.js Frontend  (SSR/SPA, no provider-specific logic)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Backend API (NestJS)  --- Auth/Validation/Rate-limit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Business Logic (Order / Customer / Shipment services)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Tracking Service  --- Redis Cache (tracking:&lt;internal_id&gt;)</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 (cache miss)           | (cache hit -&gt; return)</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Provider Integration Layer (ShippingProvider interface)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                |          |</w:t>
      </w:r>
    </w:p>
    <w:p>
      <w:pPr>
        <w:shd w:fill="F2F2F2" w:val="clear"/>
        <w:spacing w:after="0"/>
      </w:pPr>
      <w:r>
        <w:rPr>
          <w:rFonts w:ascii="Consolas" w:cs="Consolas" w:eastAsia="Consolas" w:hAnsi="Consolas"/>
          <w:sz w:val="18"/>
          <w:szCs w:val="18"/>
        </w:rPr>
        <w:t xml:space="preserve">ICL Adapter     DHL Adapter*    FedEx Adapter*  UPS Adapter*   (*future)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ICL API</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Response Normalizer  -&gt;  PostgreSQL (TrackingEvent, Shipment)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Backend Response (canonical JSON)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Frontend</w:t>
      </w:r>
    </w:p>
    <w:p>
      <w:pPr>
        <w:shd w:fill="F2F2F2" w:val="clear"/>
        <w:spacing w:after="0"/>
      </w:pPr>
      <w:r>
        <w:rPr>
          <w:rFonts w:ascii="Consolas" w:cs="Consolas" w:eastAsia="Consolas" w:hAnsi="Consolas"/>
          <w:sz w:val="18"/>
          <w:szCs w:val="18"/>
        </w:rPr>
        <w:t xml:space="preserve">     |</w:t>
      </w:r>
    </w:p>
    <w:p>
      <w:pPr>
        <w:shd w:fill="F2F2F2" w:val="clear"/>
        <w:spacing w:after="200"/>
      </w:pPr>
      <w:r>
        <w:rPr>
          <w:rFonts w:ascii="Consolas" w:cs="Consolas" w:eastAsia="Consolas" w:hAnsi="Consolas"/>
          <w:sz w:val="18"/>
          <w:szCs w:val="18"/>
        </w:rPr>
        <w:t xml:space="preserve">Customer</w:t>
      </w:r>
    </w:p>
    <w:p>
      <w:pPr>
        <w:spacing w:after="160" w:line="276"/>
      </w:pPr>
      <w:r>
        <w:rPr>
          <w:sz w:val="22"/>
          <w:szCs w:val="22"/>
        </w:rPr>
        <w:t xml:space="preserve">Admin/staff path:</w:t>
      </w:r>
    </w:p>
    <w:p>
      <w:pPr>
        <w:shd w:fill="F2F2F2" w:val="clear"/>
        <w:spacing w:after="0"/>
      </w:pPr>
      <w:r>
        <w:rPr>
          <w:rFonts w:ascii="Consolas" w:cs="Consolas" w:eastAsia="Consolas" w:hAnsi="Consolas"/>
          <w:sz w:val="18"/>
          <w:szCs w:val="18"/>
        </w:rPr>
        <w:t xml:space="preserve">Admin User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Admin Dashboard (same Next.js app, role-gated routes)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Backend API (RBAC-protected admin endpoints)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Order / Shipment / Tracking-Mapping / Notification Services</w:t>
      </w:r>
    </w:p>
    <w:p>
      <w:pPr>
        <w:shd w:fill="F2F2F2" w:val="clear"/>
        <w:spacing w:after="0"/>
      </w:pPr>
      <w:r>
        <w:rPr>
          <w:rFonts w:ascii="Consolas" w:cs="Consolas" w:eastAsia="Consolas" w:hAnsi="Consolas"/>
          <w:sz w:val="18"/>
          <w:szCs w:val="18"/>
        </w:rPr>
        <w:t xml:space="preserve">     |</w:t>
      </w:r>
    </w:p>
    <w:p>
      <w:pPr>
        <w:shd w:fill="F2F2F2" w:val="clear"/>
        <w:spacing w:after="200"/>
      </w:pPr>
      <w:r>
        <w:rPr>
          <w:rFonts w:ascii="Consolas" w:cs="Consolas" w:eastAsia="Consolas" w:hAnsi="Consolas"/>
          <w:sz w:val="18"/>
          <w:szCs w:val="18"/>
        </w:rPr>
        <w:t xml:space="preserve">PostgreSQL + Audit Log</w:t>
      </w:r>
    </w:p>
    <w:p>
      <w:pPr>
        <w:spacing w:after="160" w:line="276"/>
      </w:pPr>
      <w:r>
        <w:rPr>
          <w:sz w:val="22"/>
          <w:szCs w:val="22"/>
        </w:rPr>
        <w:t xml:space="preserve">Asynchronous / background path (notifications, refresh, WhatsApp, voice):</w:t>
      </w:r>
    </w:p>
    <w:p>
      <w:pPr>
        <w:shd w:fill="F2F2F2" w:val="clear"/>
        <w:spacing w:after="0"/>
      </w:pPr>
      <w:r>
        <w:rPr>
          <w:rFonts w:ascii="Consolas" w:cs="Consolas" w:eastAsia="Consolas" w:hAnsi="Consolas"/>
          <w:sz w:val="18"/>
          <w:szCs w:val="18"/>
        </w:rPr>
        <w:t xml:space="preserve">Event (order created / status changed)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Message Queue (BullMQ on Redis, or SQS at larger scale)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Background Worker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WhatsApp API   Voice/IVR API   Scheduled Tracking</w:t>
      </w:r>
    </w:p>
    <w:p>
      <w:pPr>
        <w:shd w:fill="F2F2F2" w:val="clear"/>
        <w:spacing w:after="0"/>
      </w:pPr>
      <w:r>
        <w:rPr>
          <w:rFonts w:ascii="Consolas" w:cs="Consolas" w:eastAsia="Consolas" w:hAnsi="Consolas"/>
          <w:sz w:val="18"/>
          <w:szCs w:val="18"/>
        </w:rPr>
        <w:t xml:space="preserve">(Meta Cloud    (Exotel/Twilio)  Refresh Job</w:t>
      </w:r>
    </w:p>
    <w:p>
      <w:pPr>
        <w:shd w:fill="F2F2F2" w:val="clear"/>
        <w:spacing w:after="0"/>
      </w:pPr>
      <w:r>
        <w:rPr>
          <w:rFonts w:ascii="Consolas" w:cs="Consolas" w:eastAsia="Consolas" w:hAnsi="Consolas"/>
          <w:sz w:val="18"/>
          <w:szCs w:val="18"/>
        </w:rPr>
        <w:t xml:space="preserve">API)                            (polls ICL for</w:t>
      </w:r>
    </w:p>
    <w:p>
      <w:pPr>
        <w:shd w:fill="F2F2F2" w:val="clear"/>
        <w:spacing w:after="200"/>
      </w:pPr>
      <w:r>
        <w:rPr>
          <w:rFonts w:ascii="Consolas" w:cs="Consolas" w:eastAsia="Consolas" w:hAnsi="Consolas"/>
          <w:sz w:val="18"/>
          <w:szCs w:val="18"/>
        </w:rPr>
        <w:t xml:space="preserve">                                 active shipments)</w:t>
      </w:r>
    </w:p>
    <w:p>
      <w:pPr>
        <w:pStyle w:val="Heading1"/>
        <w:spacing w:after="200" w:before="300"/>
      </w:pPr>
      <w:r>
        <w:t xml:space="preserve">7.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Layer</w:t>
            </w:r>
          </w:p>
        </w:tc>
        <w:tc>
          <w:tcPr>
            <w:tcW w:type="dxa" w:w="3120"/>
            <w:shd w:fill="1F3864" w:val="clear"/>
          </w:tcPr>
          <w:p>
            <w:r>
              <w:rPr>
                <w:b/>
                <w:bCs/>
                <w:color w:val="FFFFFF"/>
                <w:sz w:val="20"/>
                <w:szCs w:val="20"/>
              </w:rPr>
              <w:t xml:space="preserve">Recommendation</w:t>
            </w:r>
          </w:p>
        </w:tc>
        <w:tc>
          <w:tcPr>
            <w:tcW w:type="dxa" w:w="3120"/>
            <w:shd w:fill="1F3864" w:val="clear"/>
          </w:tcPr>
          <w:p>
            <w:r>
              <w:rPr>
                <w:b/>
                <w:bCs/>
                <w:color w:val="FFFFFF"/>
                <w:sz w:val="20"/>
                <w:szCs w:val="20"/>
              </w:rPr>
              <w:t xml:space="preserve">Why</w:t>
            </w:r>
          </w:p>
        </w:tc>
      </w:tr>
      <w:tr>
        <w:tc>
          <w:tcPr>
            <w:tcW w:type="dxa" w:w="3120"/>
            <w:shd w:fill="FFFFFF" w:val="clear"/>
          </w:tcPr>
          <w:p>
            <w:r>
              <w:rPr>
                <w:sz w:val="20"/>
                <w:szCs w:val="20"/>
              </w:rPr>
              <w:t xml:space="preserve">Frontend</w:t>
            </w:r>
          </w:p>
        </w:tc>
        <w:tc>
          <w:tcPr>
            <w:tcW w:type="dxa" w:w="3120"/>
            <w:shd w:fill="FFFFFF" w:val="clear"/>
          </w:tcPr>
          <w:p>
            <w:r>
              <w:rPr>
                <w:sz w:val="20"/>
                <w:szCs w:val="20"/>
              </w:rPr>
              <w:t xml:space="preserve">Next.js (React) + TypeScript</w:t>
            </w:r>
          </w:p>
        </w:tc>
        <w:tc>
          <w:tcPr>
            <w:tcW w:type="dxa" w:w="3120"/>
            <w:shd w:fill="FFFFFF" w:val="clear"/>
          </w:tcPr>
          <w:p>
            <w:r>
              <w:rPr>
                <w:sz w:val="20"/>
                <w:szCs w:val="20"/>
              </w:rPr>
              <w:t xml:space="preserve">SSR/SEO for public tracking pages, file-based routing, same language as backend, huge ecosystem, deploys cheaply on Vercel or self-hosted.</w:t>
            </w:r>
          </w:p>
        </w:tc>
      </w:tr>
      <w:tr>
        <w:tc>
          <w:tcPr>
            <w:tcW w:type="dxa" w:w="3120"/>
            <w:shd w:fill="F2F2F7" w:val="clear"/>
          </w:tcPr>
          <w:p>
            <w:r>
              <w:rPr>
                <w:sz w:val="20"/>
                <w:szCs w:val="20"/>
              </w:rPr>
              <w:t xml:space="preserve">Backend</w:t>
            </w:r>
          </w:p>
        </w:tc>
        <w:tc>
          <w:tcPr>
            <w:tcW w:type="dxa" w:w="3120"/>
            <w:shd w:fill="F2F2F7" w:val="clear"/>
          </w:tcPr>
          <w:p>
            <w:r>
              <w:rPr>
                <w:sz w:val="20"/>
                <w:szCs w:val="20"/>
              </w:rPr>
              <w:t xml:space="preserve">NestJS (Node.js + TypeScript)</w:t>
            </w:r>
          </w:p>
        </w:tc>
        <w:tc>
          <w:tcPr>
            <w:tcW w:type="dxa" w:w="3120"/>
            <w:shd w:fill="F2F2F7" w:val="clear"/>
          </w:tcPr>
          <w:p>
            <w:r>
              <w:rPr>
                <w:sz w:val="20"/>
                <w:szCs w:val="20"/>
              </w:rPr>
              <w:t xml:space="preserve">Opinionated modular structure maps directly onto Customer/Order/Tracking/Provider modules; built-in DI makes the adapter pattern natural; same language as frontend reduces team overhead.</w:t>
            </w:r>
          </w:p>
        </w:tc>
      </w:tr>
      <w:tr>
        <w:tc>
          <w:tcPr>
            <w:tcW w:type="dxa" w:w="3120"/>
            <w:shd w:fill="FFFFFF" w:val="clear"/>
          </w:tcPr>
          <w:p>
            <w:r>
              <w:rPr>
                <w:sz w:val="20"/>
                <w:szCs w:val="20"/>
              </w:rPr>
              <w:t xml:space="preserve">Database</w:t>
            </w:r>
          </w:p>
        </w:tc>
        <w:tc>
          <w:tcPr>
            <w:tcW w:type="dxa" w:w="3120"/>
            <w:shd w:fill="FFFFFF" w:val="clear"/>
          </w:tcPr>
          <w:p>
            <w:r>
              <w:rPr>
                <w:sz w:val="20"/>
                <w:szCs w:val="20"/>
              </w:rPr>
              <w:t xml:space="preserve">PostgreSQL</w:t>
            </w:r>
          </w:p>
        </w:tc>
        <w:tc>
          <w:tcPr>
            <w:tcW w:type="dxa" w:w="3120"/>
            <w:shd w:fill="FFFFFF" w:val="clear"/>
          </w:tcPr>
          <w:p>
            <w:r>
              <w:rPr>
                <w:sz w:val="20"/>
                <w:szCs w:val="20"/>
              </w:rPr>
              <w:t xml:space="preserve">Relational integrity for orders/customers/mappings, JSONB columns for flexible raw-provider-response storage, mature ecosystem, works from 100 to 100,000+ customers.</w:t>
            </w:r>
          </w:p>
        </w:tc>
      </w:tr>
      <w:tr>
        <w:tc>
          <w:tcPr>
            <w:tcW w:type="dxa" w:w="3120"/>
            <w:shd w:fill="F2F2F7" w:val="clear"/>
          </w:tcPr>
          <w:p>
            <w:r>
              <w:rPr>
                <w:sz w:val="20"/>
                <w:szCs w:val="20"/>
              </w:rPr>
              <w:t xml:space="preserve">ORM</w:t>
            </w:r>
          </w:p>
        </w:tc>
        <w:tc>
          <w:tcPr>
            <w:tcW w:type="dxa" w:w="3120"/>
            <w:shd w:fill="F2F2F7" w:val="clear"/>
          </w:tcPr>
          <w:p>
            <w:r>
              <w:rPr>
                <w:sz w:val="20"/>
                <w:szCs w:val="20"/>
              </w:rPr>
              <w:t xml:space="preserve">Prisma</w:t>
            </w:r>
          </w:p>
        </w:tc>
        <w:tc>
          <w:tcPr>
            <w:tcW w:type="dxa" w:w="3120"/>
            <w:shd w:fill="F2F2F7" w:val="clear"/>
          </w:tcPr>
          <w:p>
            <w:r>
              <w:rPr>
                <w:sz w:val="20"/>
                <w:szCs w:val="20"/>
              </w:rPr>
              <w:t xml:space="preserve">Type-safe queries matching the TypeScript stack, first-class migration tooling, good DX for a small team.</w:t>
            </w:r>
          </w:p>
        </w:tc>
      </w:tr>
      <w:tr>
        <w:tc>
          <w:tcPr>
            <w:tcW w:type="dxa" w:w="3120"/>
            <w:shd w:fill="FFFFFF" w:val="clear"/>
          </w:tcPr>
          <w:p>
            <w:r>
              <w:rPr>
                <w:sz w:val="20"/>
                <w:szCs w:val="20"/>
              </w:rPr>
              <w:t xml:space="preserve">Cache/Queue</w:t>
            </w:r>
          </w:p>
        </w:tc>
        <w:tc>
          <w:tcPr>
            <w:tcW w:type="dxa" w:w="3120"/>
            <w:shd w:fill="FFFFFF" w:val="clear"/>
          </w:tcPr>
          <w:p>
            <w:r>
              <w:rPr>
                <w:sz w:val="20"/>
                <w:szCs w:val="20"/>
              </w:rPr>
              <w:t xml:space="preserve">Redis (+ BullMQ)</w:t>
            </w:r>
          </w:p>
        </w:tc>
        <w:tc>
          <w:tcPr>
            <w:tcW w:type="dxa" w:w="3120"/>
            <w:shd w:fill="FFFFFF" w:val="clear"/>
          </w:tcPr>
          <w:p>
            <w:r>
              <w:rPr>
                <w:sz w:val="20"/>
                <w:szCs w:val="20"/>
              </w:rPr>
              <w:t xml:space="preserve">Tracking cache, rate limiting, and background job queue in one component; simple to operate at this scale.</w:t>
            </w:r>
          </w:p>
        </w:tc>
      </w:tr>
      <w:tr>
        <w:tc>
          <w:tcPr>
            <w:tcW w:type="dxa" w:w="3120"/>
            <w:shd w:fill="F2F2F7" w:val="clear"/>
          </w:tcPr>
          <w:p>
            <w:r>
              <w:rPr>
                <w:sz w:val="20"/>
                <w:szCs w:val="20"/>
              </w:rPr>
              <w:t xml:space="preserve">Auth</w:t>
            </w:r>
          </w:p>
        </w:tc>
        <w:tc>
          <w:tcPr>
            <w:tcW w:type="dxa" w:w="3120"/>
            <w:shd w:fill="F2F2F7" w:val="clear"/>
          </w:tcPr>
          <w:p>
            <w:r>
              <w:rPr>
                <w:sz w:val="20"/>
                <w:szCs w:val="20"/>
              </w:rPr>
              <w:t xml:space="preserve">JWT (access + refresh tokens) via NestJS Passport, or Auth0/Clerk if buy-vs-build is preferred</w:t>
            </w:r>
          </w:p>
        </w:tc>
        <w:tc>
          <w:tcPr>
            <w:tcW w:type="dxa" w:w="3120"/>
            <w:shd w:fill="F2F2F7" w:val="clear"/>
          </w:tcPr>
          <w:p>
            <w:r>
              <w:rPr>
                <w:sz w:val="20"/>
                <w:szCs w:val="20"/>
              </w:rPr>
              <w:t xml:space="preserve">Stateless API auth for SPA/mobile-friendly future; refresh-token rotation for session longevity.</w:t>
            </w:r>
          </w:p>
        </w:tc>
      </w:tr>
      <w:tr>
        <w:tc>
          <w:tcPr>
            <w:tcW w:type="dxa" w:w="3120"/>
            <w:shd w:fill="FFFFFF" w:val="clear"/>
          </w:tcPr>
          <w:p>
            <w:r>
              <w:rPr>
                <w:sz w:val="20"/>
                <w:szCs w:val="20"/>
              </w:rPr>
              <w:t xml:space="preserve">Object storage</w:t>
            </w:r>
          </w:p>
        </w:tc>
        <w:tc>
          <w:tcPr>
            <w:tcW w:type="dxa" w:w="3120"/>
            <w:shd w:fill="FFFFFF" w:val="clear"/>
          </w:tcPr>
          <w:p>
            <w:r>
              <w:rPr>
                <w:sz w:val="20"/>
                <w:szCs w:val="20"/>
              </w:rPr>
              <w:t xml:space="preserve">S3-compatible (AWS S3 or DigitalOcean Spaces)</w:t>
            </w:r>
          </w:p>
        </w:tc>
        <w:tc>
          <w:tcPr>
            <w:tcW w:type="dxa" w:w="3120"/>
            <w:shd w:fill="FFFFFF" w:val="clear"/>
          </w:tcPr>
          <w:p>
            <w:r>
              <w:rPr>
                <w:sz w:val="20"/>
                <w:szCs w:val="20"/>
              </w:rPr>
              <w:t xml:space="preserve">Proof-of-delivery images, documents, exports.</w:t>
            </w:r>
          </w:p>
        </w:tc>
      </w:tr>
      <w:tr>
        <w:tc>
          <w:tcPr>
            <w:tcW w:type="dxa" w:w="3120"/>
            <w:shd w:fill="F2F2F7" w:val="clear"/>
          </w:tcPr>
          <w:p>
            <w:r>
              <w:rPr>
                <w:sz w:val="20"/>
                <w:szCs w:val="20"/>
              </w:rPr>
              <w:t xml:space="preserve">Hosting (start)</w:t>
            </w:r>
          </w:p>
        </w:tc>
        <w:tc>
          <w:tcPr>
            <w:tcW w:type="dxa" w:w="3120"/>
            <w:shd w:fill="F2F2F7" w:val="clear"/>
          </w:tcPr>
          <w:p>
            <w:r>
              <w:rPr>
                <w:sz w:val="20"/>
                <w:szCs w:val="20"/>
              </w:rPr>
              <w:t xml:space="preserve">Render or Railway (backend+DB+Redis) with Vercel for frontend</w:t>
            </w:r>
          </w:p>
        </w:tc>
        <w:tc>
          <w:tcPr>
            <w:tcW w:type="dxa" w:w="3120"/>
            <w:shd w:fill="F2F2F7" w:val="clear"/>
          </w:tcPr>
          <w:p>
            <w:r>
              <w:rPr>
                <w:sz w:val="20"/>
                <w:szCs w:val="20"/>
              </w:rPr>
              <w:t xml:space="preserve">Minimal ops burden, fast to ship, easy path to bigger infra later.</w:t>
            </w:r>
          </w:p>
        </w:tc>
      </w:tr>
      <w:tr>
        <w:tc>
          <w:tcPr>
            <w:tcW w:type="dxa" w:w="3120"/>
            <w:shd w:fill="FFFFFF" w:val="clear"/>
          </w:tcPr>
          <w:p>
            <w:r>
              <w:rPr>
                <w:sz w:val="20"/>
                <w:szCs w:val="20"/>
              </w:rPr>
              <w:t xml:space="preserve">Hosting (scale)</w:t>
            </w:r>
          </w:p>
        </w:tc>
        <w:tc>
          <w:tcPr>
            <w:tcW w:type="dxa" w:w="3120"/>
            <w:shd w:fill="FFFFFF" w:val="clear"/>
          </w:tcPr>
          <w:p>
            <w:r>
              <w:rPr>
                <w:sz w:val="20"/>
                <w:szCs w:val="20"/>
              </w:rPr>
              <w:t xml:space="preserve">AWS (ECS Fargate, RDS Postgres, ElastiCache, S3, CloudFront)</w:t>
            </w:r>
          </w:p>
        </w:tc>
        <w:tc>
          <w:tcPr>
            <w:tcW w:type="dxa" w:w="3120"/>
            <w:shd w:fill="FFFFFF" w:val="clear"/>
          </w:tcPr>
          <w:p>
            <w:r>
              <w:rPr>
                <w:sz w:val="20"/>
                <w:szCs w:val="20"/>
              </w:rPr>
              <w:t xml:space="preserve">Same Docker images move over; no rewrite required.</w:t>
            </w:r>
          </w:p>
        </w:tc>
      </w:tr>
    </w:tbl>
    <w:p>
      <w:pPr>
        <w:spacing w:after="200"/>
      </w:pPr>
      <w:r>
        <w:t xml:space="preserve"/>
      </w:r>
    </w:p>
    <w:p>
      <w:pPr>
        <w:spacing w:after="160" w:line="276"/>
      </w:pPr>
      <w:r>
        <w:rPr>
          <w:sz w:val="22"/>
          <w:szCs w:val="22"/>
        </w:rPr>
        <w:t xml:space="preserve">This is one coherent, defensible stack, not the only viable one — Section 8 compares it against the realistic alternatives and explains the trade-offs so the client's team can make an informed final call.</w:t>
      </w:r>
    </w:p>
    <w:p>
      <w:pPr>
        <w:pStyle w:val="Heading1"/>
        <w:spacing w:after="200" w:before="300"/>
      </w:pPr>
      <w:r>
        <w:t xml:space="preserve">8. Technology Comparison</w:t>
      </w:r>
    </w:p>
    <w:p>
      <w:pPr>
        <w:pStyle w:val="Heading2"/>
        <w:spacing w:after="120" w:before="200"/>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Pr>
          <w:p>
            <w:r>
              <w:rPr>
                <w:b/>
                <w:bCs/>
                <w:color w:val="FFFFFF"/>
                <w:sz w:val="20"/>
                <w:szCs w:val="20"/>
              </w:rPr>
              <w:t xml:space="preserve">Option</w:t>
            </w:r>
          </w:p>
        </w:tc>
        <w:tc>
          <w:tcPr>
            <w:tcW w:type="dxa" w:w="2340"/>
            <w:shd w:fill="1F3864" w:val="clear"/>
          </w:tcPr>
          <w:p>
            <w:r>
              <w:rPr>
                <w:b/>
                <w:bCs/>
                <w:color w:val="FFFFFF"/>
                <w:sz w:val="20"/>
                <w:szCs w:val="20"/>
              </w:rPr>
              <w:t xml:space="preserve">Strengths</w:t>
            </w:r>
          </w:p>
        </w:tc>
        <w:tc>
          <w:tcPr>
            <w:tcW w:type="dxa" w:w="2340"/>
            <w:shd w:fill="1F3864" w:val="clear"/>
          </w:tcPr>
          <w:p>
            <w:r>
              <w:rPr>
                <w:b/>
                <w:bCs/>
                <w:color w:val="FFFFFF"/>
                <w:sz w:val="20"/>
                <w:szCs w:val="20"/>
              </w:rPr>
              <w:t xml:space="preserve">Weaknesses</w:t>
            </w:r>
          </w:p>
        </w:tc>
        <w:tc>
          <w:tcPr>
            <w:tcW w:type="dxa" w:w="2340"/>
            <w:shd w:fill="1F3864" w:val="clear"/>
          </w:tcPr>
          <w:p>
            <w:r>
              <w:rPr>
                <w:b/>
                <w:bCs/>
                <w:color w:val="FFFFFF"/>
                <w:sz w:val="20"/>
                <w:szCs w:val="20"/>
              </w:rPr>
              <w:t xml:space="preserve">Verdict</w:t>
            </w:r>
          </w:p>
        </w:tc>
      </w:tr>
      <w:tr>
        <w:tc>
          <w:tcPr>
            <w:tcW w:type="dxa" w:w="2340"/>
            <w:shd w:fill="FFFFFF" w:val="clear"/>
          </w:tcPr>
          <w:p>
            <w:r>
              <w:rPr>
                <w:sz w:val="20"/>
                <w:szCs w:val="20"/>
              </w:rPr>
              <w:t xml:space="preserve">Next.js (React)</w:t>
            </w:r>
          </w:p>
        </w:tc>
        <w:tc>
          <w:tcPr>
            <w:tcW w:type="dxa" w:w="2340"/>
            <w:shd w:fill="FFFFFF" w:val="clear"/>
          </w:tcPr>
          <w:p>
            <w:r>
              <w:rPr>
                <w:sz w:val="20"/>
                <w:szCs w:val="20"/>
              </w:rPr>
              <w:t xml:space="preserve">SSR/SEO, huge hiring pool, one language with backend, mature</w:t>
            </w:r>
          </w:p>
        </w:tc>
        <w:tc>
          <w:tcPr>
            <w:tcW w:type="dxa" w:w="2340"/>
            <w:shd w:fill="FFFFFF" w:val="clear"/>
          </w:tcPr>
          <w:p>
            <w:r>
              <w:rPr>
                <w:sz w:val="20"/>
                <w:szCs w:val="20"/>
              </w:rPr>
              <w:t xml:space="preserve">Slightly heavier than plain SPA for very simple sites</w:t>
            </w:r>
          </w:p>
        </w:tc>
        <w:tc>
          <w:tcPr>
            <w:tcW w:type="dxa" w:w="2340"/>
            <w:shd w:fill="FFFFFF" w:val="clear"/>
          </w:tcPr>
          <w:p>
            <w:r>
              <w:rPr>
                <w:sz w:val="20"/>
                <w:szCs w:val="20"/>
              </w:rPr>
              <w:t xml:space="preserve">Recommended</w:t>
            </w:r>
          </w:p>
        </w:tc>
      </w:tr>
      <w:tr>
        <w:tc>
          <w:tcPr>
            <w:tcW w:type="dxa" w:w="2340"/>
            <w:shd w:fill="F2F2F7" w:val="clear"/>
          </w:tcPr>
          <w:p>
            <w:r>
              <w:rPr>
                <w:sz w:val="20"/>
                <w:szCs w:val="20"/>
              </w:rPr>
              <w:t xml:space="preserve">Vue / Nuxt</w:t>
            </w:r>
          </w:p>
        </w:tc>
        <w:tc>
          <w:tcPr>
            <w:tcW w:type="dxa" w:w="2340"/>
            <w:shd w:fill="F2F2F7" w:val="clear"/>
          </w:tcPr>
          <w:p>
            <w:r>
              <w:rPr>
                <w:sz w:val="20"/>
                <w:szCs w:val="20"/>
              </w:rPr>
              <w:t xml:space="preserve">Gentle learning curve, good DX</w:t>
            </w:r>
          </w:p>
        </w:tc>
        <w:tc>
          <w:tcPr>
            <w:tcW w:type="dxa" w:w="2340"/>
            <w:shd w:fill="F2F2F7" w:val="clear"/>
          </w:tcPr>
          <w:p>
            <w:r>
              <w:rPr>
                <w:sz w:val="20"/>
                <w:szCs w:val="20"/>
              </w:rPr>
              <w:t xml:space="preserve">Smaller India/global hiring pool than React</w:t>
            </w:r>
          </w:p>
        </w:tc>
        <w:tc>
          <w:tcPr>
            <w:tcW w:type="dxa" w:w="2340"/>
            <w:shd w:fill="F2F2F7" w:val="clear"/>
          </w:tcPr>
          <w:p>
            <w:r>
              <w:rPr>
                <w:sz w:val="20"/>
                <w:szCs w:val="20"/>
              </w:rPr>
              <w:t xml:space="preserve">Viable alternative, not chosen</w:t>
            </w:r>
          </w:p>
        </w:tc>
      </w:tr>
      <w:tr>
        <w:tc>
          <w:tcPr>
            <w:tcW w:type="dxa" w:w="2340"/>
            <w:shd w:fill="FFFFFF" w:val="clear"/>
          </w:tcPr>
          <w:p>
            <w:r>
              <w:rPr>
                <w:sz w:val="20"/>
                <w:szCs w:val="20"/>
              </w:rPr>
              <w:t xml:space="preserve">Plain React SPA (Vite)</w:t>
            </w:r>
          </w:p>
        </w:tc>
        <w:tc>
          <w:tcPr>
            <w:tcW w:type="dxa" w:w="2340"/>
            <w:shd w:fill="FFFFFF" w:val="clear"/>
          </w:tcPr>
          <w:p>
            <w:r>
              <w:rPr>
                <w:sz w:val="20"/>
                <w:szCs w:val="20"/>
              </w:rPr>
              <w:t xml:space="preserve">Simpler mental model</w:t>
            </w:r>
          </w:p>
        </w:tc>
        <w:tc>
          <w:tcPr>
            <w:tcW w:type="dxa" w:w="2340"/>
            <w:shd w:fill="FFFFFF" w:val="clear"/>
          </w:tcPr>
          <w:p>
            <w:r>
              <w:rPr>
                <w:sz w:val="20"/>
                <w:szCs w:val="20"/>
              </w:rPr>
              <w:t xml:space="preserve">No SSR out of the box — worse for public tracking-page SEO and first paint</w:t>
            </w:r>
          </w:p>
        </w:tc>
        <w:tc>
          <w:tcPr>
            <w:tcW w:type="dxa" w:w="2340"/>
            <w:shd w:fill="FFFFFF" w:val="clear"/>
          </w:tcPr>
          <w:p>
            <w:r>
              <w:rPr>
                <w:sz w:val="20"/>
                <w:szCs w:val="20"/>
              </w:rPr>
              <w:t xml:space="preserve">Not recommended for the public tracking pages</w:t>
            </w:r>
          </w:p>
        </w:tc>
      </w:tr>
    </w:tbl>
    <w:p>
      <w:pPr>
        <w:spacing w:after="200"/>
      </w:pPr>
      <w:r>
        <w:t xml:space="preserve"/>
      </w:r>
    </w:p>
    <w:p>
      <w:pPr>
        <w:pStyle w:val="Heading2"/>
        <w:spacing w:after="120" w:before="200"/>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Pr>
          <w:p>
            <w:r>
              <w:rPr>
                <w:b/>
                <w:bCs/>
                <w:color w:val="FFFFFF"/>
                <w:sz w:val="20"/>
                <w:szCs w:val="20"/>
              </w:rPr>
              <w:t xml:space="preserve">Option</w:t>
            </w:r>
          </w:p>
        </w:tc>
        <w:tc>
          <w:tcPr>
            <w:tcW w:type="dxa" w:w="2340"/>
            <w:shd w:fill="1F3864" w:val="clear"/>
          </w:tcPr>
          <w:p>
            <w:r>
              <w:rPr>
                <w:b/>
                <w:bCs/>
                <w:color w:val="FFFFFF"/>
                <w:sz w:val="20"/>
                <w:szCs w:val="20"/>
              </w:rPr>
              <w:t xml:space="preserve">Strengths</w:t>
            </w:r>
          </w:p>
        </w:tc>
        <w:tc>
          <w:tcPr>
            <w:tcW w:type="dxa" w:w="2340"/>
            <w:shd w:fill="1F3864" w:val="clear"/>
          </w:tcPr>
          <w:p>
            <w:r>
              <w:rPr>
                <w:b/>
                <w:bCs/>
                <w:color w:val="FFFFFF"/>
                <w:sz w:val="20"/>
                <w:szCs w:val="20"/>
              </w:rPr>
              <w:t xml:space="preserve">Weaknesses</w:t>
            </w:r>
          </w:p>
        </w:tc>
        <w:tc>
          <w:tcPr>
            <w:tcW w:type="dxa" w:w="2340"/>
            <w:shd w:fill="1F3864" w:val="clear"/>
          </w:tcPr>
          <w:p>
            <w:r>
              <w:rPr>
                <w:b/>
                <w:bCs/>
                <w:color w:val="FFFFFF"/>
                <w:sz w:val="20"/>
                <w:szCs w:val="20"/>
              </w:rPr>
              <w:t xml:space="preserve">Verdict</w:t>
            </w:r>
          </w:p>
        </w:tc>
      </w:tr>
      <w:tr>
        <w:tc>
          <w:tcPr>
            <w:tcW w:type="dxa" w:w="2340"/>
            <w:shd w:fill="FFFFFF" w:val="clear"/>
          </w:tcPr>
          <w:p>
            <w:r>
              <w:rPr>
                <w:sz w:val="20"/>
                <w:szCs w:val="20"/>
              </w:rPr>
              <w:t xml:space="preserve">NestJS (Node/TS)</w:t>
            </w:r>
          </w:p>
        </w:tc>
        <w:tc>
          <w:tcPr>
            <w:tcW w:type="dxa" w:w="2340"/>
            <w:shd w:fill="FFFFFF" w:val="clear"/>
          </w:tcPr>
          <w:p>
            <w:r>
              <w:rPr>
                <w:sz w:val="20"/>
                <w:szCs w:val="20"/>
              </w:rPr>
              <w:t xml:space="preserve">Structured modules/DI, TypeScript end-to-end, great fit for adapter pattern, strong for API-first systems</w:t>
            </w:r>
          </w:p>
        </w:tc>
        <w:tc>
          <w:tcPr>
            <w:tcW w:type="dxa" w:w="2340"/>
            <w:shd w:fill="FFFFFF" w:val="clear"/>
          </w:tcPr>
          <w:p>
            <w:r>
              <w:rPr>
                <w:sz w:val="20"/>
                <w:szCs w:val="20"/>
              </w:rPr>
              <w:t xml:space="preserve">Slightly more ceremony than bare Express for tiny projects</w:t>
            </w:r>
          </w:p>
        </w:tc>
        <w:tc>
          <w:tcPr>
            <w:tcW w:type="dxa" w:w="2340"/>
            <w:shd w:fill="FFFFFF" w:val="clear"/>
          </w:tcPr>
          <w:p>
            <w:r>
              <w:rPr>
                <w:sz w:val="20"/>
                <w:szCs w:val="20"/>
              </w:rPr>
              <w:t xml:space="preserve">Recommended</w:t>
            </w:r>
          </w:p>
        </w:tc>
      </w:tr>
      <w:tr>
        <w:tc>
          <w:tcPr>
            <w:tcW w:type="dxa" w:w="2340"/>
            <w:shd w:fill="F2F2F7" w:val="clear"/>
          </w:tcPr>
          <w:p>
            <w:r>
              <w:rPr>
                <w:sz w:val="20"/>
                <w:szCs w:val="20"/>
              </w:rPr>
              <w:t xml:space="preserve">Express.js</w:t>
            </w:r>
          </w:p>
        </w:tc>
        <w:tc>
          <w:tcPr>
            <w:tcW w:type="dxa" w:w="2340"/>
            <w:shd w:fill="F2F2F7" w:val="clear"/>
          </w:tcPr>
          <w:p>
            <w:r>
              <w:rPr>
                <w:sz w:val="20"/>
                <w:szCs w:val="20"/>
              </w:rPr>
              <w:t xml:space="preserve">Minimal, flexible</w:t>
            </w:r>
          </w:p>
        </w:tc>
        <w:tc>
          <w:tcPr>
            <w:tcW w:type="dxa" w:w="2340"/>
            <w:shd w:fill="F2F2F7" w:val="clear"/>
          </w:tcPr>
          <w:p>
            <w:r>
              <w:rPr>
                <w:sz w:val="20"/>
                <w:szCs w:val="20"/>
              </w:rPr>
              <w:t xml:space="preserve">No enforced structure — a team of 1-4 can drift into an unmaintainable codebase without discipline</w:t>
            </w:r>
          </w:p>
        </w:tc>
        <w:tc>
          <w:tcPr>
            <w:tcW w:type="dxa" w:w="2340"/>
            <w:shd w:fill="F2F2F7" w:val="clear"/>
          </w:tcPr>
          <w:p>
            <w:r>
              <w:rPr>
                <w:sz w:val="20"/>
                <w:szCs w:val="20"/>
              </w:rPr>
              <w:t xml:space="preserve">Not recommended as primary framework</w:t>
            </w:r>
          </w:p>
        </w:tc>
      </w:tr>
      <w:tr>
        <w:tc>
          <w:tcPr>
            <w:tcW w:type="dxa" w:w="2340"/>
            <w:shd w:fill="FFFFFF" w:val="clear"/>
          </w:tcPr>
          <w:p>
            <w:r>
              <w:rPr>
                <w:sz w:val="20"/>
                <w:szCs w:val="20"/>
              </w:rPr>
              <w:t xml:space="preserve">Python + FastAPI</w:t>
            </w:r>
          </w:p>
        </w:tc>
        <w:tc>
          <w:tcPr>
            <w:tcW w:type="dxa" w:w="2340"/>
            <w:shd w:fill="FFFFFF" w:val="clear"/>
          </w:tcPr>
          <w:p>
            <w:r>
              <w:rPr>
                <w:sz w:val="20"/>
                <w:szCs w:val="20"/>
              </w:rPr>
              <w:t xml:space="preserve">Excellent for data/ML-heavy workloads, fast to write, good typing via Pydantic</w:t>
            </w:r>
          </w:p>
        </w:tc>
        <w:tc>
          <w:tcPr>
            <w:tcW w:type="dxa" w:w="2340"/>
            <w:shd w:fill="FFFFFF" w:val="clear"/>
          </w:tcPr>
          <w:p>
            <w:r>
              <w:rPr>
                <w:sz w:val="20"/>
                <w:szCs w:val="20"/>
              </w:rPr>
              <w:t xml:space="preserve">Splits the team across two languages if frontend is React/Next; less naturally structured for large modular apps than NestJS</w:t>
            </w:r>
          </w:p>
        </w:tc>
        <w:tc>
          <w:tcPr>
            <w:tcW w:type="dxa" w:w="2340"/>
            <w:shd w:fill="FFFFFF" w:val="clear"/>
          </w:tcPr>
          <w:p>
            <w:r>
              <w:rPr>
                <w:sz w:val="20"/>
                <w:szCs w:val="20"/>
              </w:rPr>
              <w:t xml:space="preserve">Strong alternative if the team is Python-first</w:t>
            </w:r>
          </w:p>
        </w:tc>
      </w:tr>
      <w:tr>
        <w:tc>
          <w:tcPr>
            <w:tcW w:type="dxa" w:w="2340"/>
            <w:shd w:fill="F2F2F7" w:val="clear"/>
          </w:tcPr>
          <w:p>
            <w:r>
              <w:rPr>
                <w:sz w:val="20"/>
                <w:szCs w:val="20"/>
              </w:rPr>
              <w:t xml:space="preserve">Django</w:t>
            </w:r>
          </w:p>
        </w:tc>
        <w:tc>
          <w:tcPr>
            <w:tcW w:type="dxa" w:w="2340"/>
            <w:shd w:fill="F2F2F7" w:val="clear"/>
          </w:tcPr>
          <w:p>
            <w:r>
              <w:rPr>
                <w:sz w:val="20"/>
                <w:szCs w:val="20"/>
              </w:rPr>
              <w:t xml:space="preserve">Batteries-included, admin panel out of the box (useful for an internal admin tool)</w:t>
            </w:r>
          </w:p>
        </w:tc>
        <w:tc>
          <w:tcPr>
            <w:tcW w:type="dxa" w:w="2340"/>
            <w:shd w:fill="F2F2F7" w:val="clear"/>
          </w:tcPr>
          <w:p>
            <w:r>
              <w:rPr>
                <w:sz w:val="20"/>
                <w:szCs w:val="20"/>
              </w:rPr>
              <w:t xml:space="preserve">Monolithic conventions less suited to an API-first, adapter-heavy integration system; slower for pure API workloads than FastAPI</w:t>
            </w:r>
          </w:p>
        </w:tc>
        <w:tc>
          <w:tcPr>
            <w:tcW w:type="dxa" w:w="2340"/>
            <w:shd w:fill="F2F2F7" w:val="clear"/>
          </w:tcPr>
          <w:p>
            <w:r>
              <w:rPr>
                <w:sz w:val="20"/>
                <w:szCs w:val="20"/>
              </w:rPr>
              <w:t xml:space="preserve">Viable for the admin panel specifically, not chosen as the core API framework</w:t>
            </w:r>
          </w:p>
        </w:tc>
      </w:tr>
      <w:tr>
        <w:tc>
          <w:tcPr>
            <w:tcW w:type="dxa" w:w="2340"/>
            <w:shd w:fill="FFFFFF" w:val="clear"/>
          </w:tcPr>
          <w:p>
            <w:r>
              <w:rPr>
                <w:sz w:val="20"/>
                <w:szCs w:val="20"/>
              </w:rPr>
              <w:t xml:space="preserve">Laravel (PHP)</w:t>
            </w:r>
          </w:p>
        </w:tc>
        <w:tc>
          <w:tcPr>
            <w:tcW w:type="dxa" w:w="2340"/>
            <w:shd w:fill="FFFFFF" w:val="clear"/>
          </w:tcPr>
          <w:p>
            <w:r>
              <w:rPr>
                <w:sz w:val="20"/>
                <w:szCs w:val="20"/>
              </w:rPr>
              <w:t xml:space="preserve">Fast development, good ecosystem, cheap hosting</w:t>
            </w:r>
          </w:p>
        </w:tc>
        <w:tc>
          <w:tcPr>
            <w:tcW w:type="dxa" w:w="2340"/>
            <w:shd w:fill="FFFFFF" w:val="clear"/>
          </w:tcPr>
          <w:p>
            <w:r>
              <w:rPr>
                <w:sz w:val="20"/>
                <w:szCs w:val="20"/>
              </w:rPr>
              <w:t xml:space="preserve">Smaller relative footprint in modern API-first/microservice-leaning teams; less natural TypeScript-sharing with a React frontend</w:t>
            </w:r>
          </w:p>
        </w:tc>
        <w:tc>
          <w:tcPr>
            <w:tcW w:type="dxa" w:w="2340"/>
            <w:shd w:fill="FFFFFF" w:val="clear"/>
          </w:tcPr>
          <w:p>
            <w:r>
              <w:rPr>
                <w:sz w:val="20"/>
                <w:szCs w:val="20"/>
              </w:rPr>
              <w:t xml:space="preserve">Not recommended given the rest of the stack</w:t>
            </w:r>
          </w:p>
        </w:tc>
      </w:tr>
      <w:tr>
        <w:tc>
          <w:tcPr>
            <w:tcW w:type="dxa" w:w="2340"/>
            <w:shd w:fill="F2F2F7" w:val="clear"/>
          </w:tcPr>
          <w:p>
            <w:r>
              <w:rPr>
                <w:sz w:val="20"/>
                <w:szCs w:val="20"/>
              </w:rPr>
              <w:t xml:space="preserve">.NET / Java-Spring Boot</w:t>
            </w:r>
          </w:p>
        </w:tc>
        <w:tc>
          <w:tcPr>
            <w:tcW w:type="dxa" w:w="2340"/>
            <w:shd w:fill="F2F2F7" w:val="clear"/>
          </w:tcPr>
          <w:p>
            <w:r>
              <w:rPr>
                <w:sz w:val="20"/>
                <w:szCs w:val="20"/>
              </w:rPr>
              <w:t xml:space="preserve">Extremely robust, enterprise-proven, strong typing</w:t>
            </w:r>
          </w:p>
        </w:tc>
        <w:tc>
          <w:tcPr>
            <w:tcW w:type="dxa" w:w="2340"/>
            <w:shd w:fill="F2F2F7" w:val="clear"/>
          </w:tcPr>
          <w:p>
            <w:r>
              <w:rPr>
                <w:sz w:val="20"/>
                <w:szCs w:val="20"/>
              </w:rPr>
              <w:t xml:space="preserve">Heavier operational and hiring overhead than justified at this stage; longer iteration cycles for a small team</w:t>
            </w:r>
          </w:p>
        </w:tc>
        <w:tc>
          <w:tcPr>
            <w:tcW w:type="dxa" w:w="2340"/>
            <w:shd w:fill="F2F2F7" w:val="clear"/>
          </w:tcPr>
          <w:p>
            <w:r>
              <w:rPr>
                <w:sz w:val="20"/>
                <w:szCs w:val="20"/>
              </w:rPr>
              <w:t xml:space="preserve">Overkill for current scale; reconsider only if client already has a .NET/Java team</w:t>
            </w:r>
          </w:p>
        </w:tc>
      </w:tr>
    </w:tbl>
    <w:p>
      <w:pPr>
        <w:spacing w:after="200"/>
      </w:pPr>
      <w:r>
        <w:t xml:space="preserve"/>
      </w:r>
    </w:p>
    <w:p>
      <w:pPr>
        <w:spacing w:after="160" w:line="276"/>
      </w:pPr>
      <w:r>
        <w:rPr>
          <w:sz w:val="22"/>
          <w:szCs w:val="22"/>
        </w:rPr>
        <w:t xml:space="preserve">Overall recommendation: Next.js + NestJS + TypeScript end-to-end. It gives the smallest team the most leverage — one language, shared types between frontend and backend (e.g., shared DTO definitions), a natural place to put the Provider Adapter pattern (NestJS's dependency-injection makes swapping ICLAdapter for DHLAdapter a one-line change), and a large, affordable hiring pool in India and globally. FastAPI/Python remains a credible second choice specifically if the client's existing or available engineering talent is Python-strong.</w:t>
      </w:r>
    </w:p>
    <w:p>
      <w:pPr>
        <w:pStyle w:val="Heading1"/>
        <w:spacing w:after="200" w:before="300"/>
      </w:pPr>
      <w:r>
        <w:t xml:space="preserve">9. Database Recommendation</w:t>
      </w:r>
    </w:p>
    <w:p>
      <w:pPr>
        <w:spacing w:after="160" w:line="276"/>
      </w:pPr>
      <w:r>
        <w:rPr>
          <w:sz w:val="22"/>
          <w:szCs w:val="22"/>
        </w:rPr>
        <w:t xml:space="preserve">PostgreSQL is recommended over MySQL and MongoDB. The core entities — Customer, Order, Shipment, TrackingNumber mappings, ShippingProvider, TrackingEvent, API request logs, payments, admin users, audit logs — are inherently relational: an Order belongs to a Customer, a Shipment belongs to an Order and a Provider, and TrackingEvents belong to a Shipment. Referential integrity (a Shipment cannot reference a nonexistent Provider) is exactly what a relational database enforces for free and a document database does not.</w:t>
      </w:r>
    </w:p>
    <w:p>
      <w:pPr>
        <w:spacing w:after="160" w:line="276"/>
      </w:pPr>
      <w:r>
        <w:rPr>
          <w:sz w:val="22"/>
          <w:szCs w:val="22"/>
        </w:rPr>
        <w:t xml:space="preserve">PostgreSQL specifically (over MySQL) because of its native JSONB type — useful for storing each provider's raw, unpredictable tracking response alongside the normalized relational fields, without needing a separate NoSQL system — plus stronger support for complex constraints, full-text search if needed later, and read replicas via managed providers (RDS, DigitalOcean Managed Databases, Supabase).</w:t>
      </w:r>
    </w:p>
    <w:p>
      <w:pPr>
        <w:spacing w:after="160" w:line="276"/>
      </w:pPr>
      <w:r>
        <w:rPr>
          <w:sz w:val="22"/>
          <w:szCs w:val="22"/>
        </w:rPr>
        <w:t xml:space="preserve">MongoDB is not recommended as the primary store: the domain is transactional and relationship-heavy (payments, order status transitions, audit trails), which is where document databases are weakest and relational databases are strongest. A hybrid approach — Postgres for everything transactional, plus a small amount of JSONB for provider-response flexibility — captures the benefit of "schema flexibility for varying provider payloads" without giving up relational integrity elsewhere.</w:t>
      </w:r>
    </w:p>
    <w:p>
      <w:pPr>
        <w:spacing w:after="160" w:line="276"/>
      </w:pPr>
      <w:r>
        <w:rPr>
          <w:sz w:val="22"/>
          <w:szCs w:val="22"/>
        </w:rPr>
        <w:t xml:space="preserve">Is PostgreSQL sufficient at expected scale? Yes, comfortably. A single well-indexed Postgres instance easily handles hundreds of thousands of shipments and millions of tracking events; the eventual scaling levers (read replicas for reporting/admin queries, connection pooling via PgBouncer, partitioning the TrackingEvent table by date once it is very large) are all well-understood, low-risk, incremental steps rather than a rewrite.</w:t>
      </w:r>
    </w:p>
    <w:p>
      <w:pPr>
        <w:pStyle w:val="Heading2"/>
        <w:spacing w:after="120" w:before="200"/>
      </w:pPr>
      <w:r>
        <w:t xml:space="preserve">Migrations, indexing, backups, replicas</w:t>
      </w:r>
    </w:p>
    <w:p>
      <w:pPr>
        <w:pStyle w:val="ListParagraph"/>
        <w:numPr>
          <w:ilvl w:val="0"/>
          <w:numId w:val="2"/>
        </w:numPr>
        <w:spacing w:after="100"/>
      </w:pPr>
      <w:r>
        <w:rPr>
          <w:sz w:val="22"/>
          <w:szCs w:val="22"/>
        </w:rPr>
        <w:t xml:space="preserve">Migrations: Prisma Migrate (paired with the recommended ORM) — versioned, reviewable SQL migration files checked into git.</w:t>
      </w:r>
    </w:p>
    <w:p>
      <w:pPr>
        <w:pStyle w:val="ListParagraph"/>
        <w:numPr>
          <w:ilvl w:val="0"/>
          <w:numId w:val="2"/>
        </w:numPr>
        <w:spacing w:after="100"/>
      </w:pPr>
      <w:r>
        <w:rPr>
          <w:sz w:val="22"/>
          <w:szCs w:val="22"/>
        </w:rPr>
        <w:t xml:space="preserve">Indexing: unique index on Customer-facing tracking number; composite index on (provider_id, external_tracking_number); index on shipment_id + created_at for TrackingEvent timelines.</w:t>
      </w:r>
    </w:p>
    <w:p>
      <w:pPr>
        <w:pStyle w:val="ListParagraph"/>
        <w:numPr>
          <w:ilvl w:val="0"/>
          <w:numId w:val="2"/>
        </w:numPr>
        <w:spacing w:after="100"/>
      </w:pPr>
      <w:r>
        <w:rPr>
          <w:sz w:val="22"/>
          <w:szCs w:val="22"/>
        </w:rPr>
        <w:t xml:space="preserve">Backups: daily automated snapshots plus continuous point-in-time recovery (PITR) via WAL archiving — available out of the box on managed Postgres (RDS, DigitalOcean Managed DB, Render Postgres, Supabase).</w:t>
      </w:r>
    </w:p>
    <w:p>
      <w:pPr>
        <w:pStyle w:val="ListParagraph"/>
        <w:numPr>
          <w:ilvl w:val="0"/>
          <w:numId w:val="2"/>
        </w:numPr>
        <w:spacing w:after="100"/>
      </w:pPr>
      <w:r>
        <w:rPr>
          <w:sz w:val="22"/>
          <w:szCs w:val="22"/>
        </w:rPr>
        <w:t xml:space="preserve">Read replicas: not needed at launch; add one once admin/reporting queries start competing with live tracking-lookup traffic for database resources — typically a mid-growth-stage concern, not a day-one one.</w:t>
      </w:r>
    </w:p>
    <w:p>
      <w:pPr>
        <w:pStyle w:val="ListParagraph"/>
        <w:numPr>
          <w:ilvl w:val="0"/>
          <w:numId w:val="2"/>
        </w:numPr>
        <w:spacing w:after="100"/>
      </w:pPr>
      <w:r>
        <w:rPr>
          <w:sz w:val="22"/>
          <w:szCs w:val="22"/>
        </w:rPr>
        <w:t xml:space="preserve">Scaling: vertical scaling (bigger instance) first, then read replicas, then partitioning/archiving old TrackingEvent rows — in that order, only as each becomes the actual bottleneck.</w:t>
      </w:r>
    </w:p>
    <w:p>
      <w:pPr>
        <w:pStyle w:val="Heading1"/>
        <w:spacing w:after="200" w:before="300"/>
      </w:pPr>
      <w:r>
        <w:t xml:space="preserve">10. Database Architecture</w:t>
      </w:r>
    </w:p>
    <w:p>
      <w:pPr>
        <w:spacing w:after="160" w:line="276"/>
      </w:pPr>
      <w:r>
        <w:rPr>
          <w:sz w:val="22"/>
          <w:szCs w:val="22"/>
        </w:rPr>
        <w:t xml:space="preserve">Core entity model and relationships:</w:t>
      </w:r>
    </w:p>
    <w:p>
      <w:pPr>
        <w:shd w:fill="F2F2F2" w:val="clear"/>
        <w:spacing w:after="0"/>
      </w:pPr>
      <w:r>
        <w:rPr>
          <w:rFonts w:ascii="Consolas" w:cs="Consolas" w:eastAsia="Consolas" w:hAnsi="Consolas"/>
          <w:sz w:val="18"/>
          <w:szCs w:val="18"/>
        </w:rPr>
        <w:t xml:space="preserve">Customer (1) ---- (many) Order</w:t>
      </w:r>
    </w:p>
    <w:p>
      <w:pPr>
        <w:shd w:fill="F2F2F2" w:val="clear"/>
        <w:spacing w:after="0"/>
      </w:pPr>
      <w:r>
        <w:rPr>
          <w:rFonts w:ascii="Consolas" w:cs="Consolas" w:eastAsia="Consolas" w:hAnsi="Consolas"/>
          <w:sz w:val="18"/>
          <w:szCs w:val="18"/>
        </w:rPr>
        <w:t xml:space="preserve">Order (1) ---- (1) Shipment</w:t>
      </w:r>
    </w:p>
    <w:p>
      <w:pPr>
        <w:shd w:fill="F2F2F2" w:val="clear"/>
        <w:spacing w:after="0"/>
      </w:pPr>
      <w:r>
        <w:rPr>
          <w:rFonts w:ascii="Consolas" w:cs="Consolas" w:eastAsia="Consolas" w:hAnsi="Consolas"/>
          <w:sz w:val="18"/>
          <w:szCs w:val="18"/>
        </w:rPr>
        <w:t xml:space="preserve">Shipment (many) ---- (1) ShippingProvider</w:t>
      </w:r>
    </w:p>
    <w:p>
      <w:pPr>
        <w:shd w:fill="F2F2F2" w:val="clear"/>
        <w:spacing w:after="0"/>
      </w:pPr>
      <w:r>
        <w:rPr>
          <w:rFonts w:ascii="Consolas" w:cs="Consolas" w:eastAsia="Consolas" w:hAnsi="Consolas"/>
          <w:sz w:val="18"/>
          <w:szCs w:val="18"/>
        </w:rPr>
        <w:t xml:space="preserve">Shipment (1) ---- (1) InternalTrackingNumber</w:t>
      </w:r>
    </w:p>
    <w:p>
      <w:pPr>
        <w:shd w:fill="F2F2F2" w:val="clear"/>
        <w:spacing w:after="0"/>
      </w:pPr>
      <w:r>
        <w:rPr>
          <w:rFonts w:ascii="Consolas" w:cs="Consolas" w:eastAsia="Consolas" w:hAnsi="Consolas"/>
          <w:sz w:val="18"/>
          <w:szCs w:val="18"/>
        </w:rPr>
        <w:t xml:space="preserve">Shipment (1) ---- (1..many) ExternalTrackingNumber   [see mapping discussion below]</w:t>
      </w:r>
    </w:p>
    <w:p>
      <w:pPr>
        <w:shd w:fill="F2F2F2" w:val="clear"/>
        <w:spacing w:after="0"/>
      </w:pPr>
      <w:r>
        <w:rPr>
          <w:rFonts w:ascii="Consolas" w:cs="Consolas" w:eastAsia="Consolas" w:hAnsi="Consolas"/>
          <w:sz w:val="18"/>
          <w:szCs w:val="18"/>
        </w:rPr>
        <w:t xml:space="preserve">ExternalTrackingNumber (1) ---- (many) TrackingEvent</w:t>
      </w:r>
    </w:p>
    <w:p>
      <w:pPr>
        <w:shd w:fill="F2F2F2" w:val="clear"/>
        <w:spacing w:after="0"/>
      </w:pPr>
      <w:r>
        <w:rPr>
          <w:rFonts w:ascii="Consolas" w:cs="Consolas" w:eastAsia="Consolas" w:hAnsi="Consolas"/>
          <w:sz w:val="18"/>
          <w:szCs w:val="18"/>
        </w:rPr>
        <w:t xml:space="preserve">TrackingEvent (many) ---- (1) TrackingStatus (canonical enum/lookup)</w:t>
      </w:r>
    </w:p>
    <w:p>
      <w:pPr>
        <w:shd w:fill="F2F2F2" w:val="clear"/>
        <w:spacing w:after="200"/>
      </w:pPr>
      <w:r>
        <w:rPr>
          <w:rFonts w:ascii="Consolas" w:cs="Consolas" w:eastAsia="Consolas" w:hAnsi="Consolas"/>
          <w:sz w:val="18"/>
          <w:szCs w:val="18"/>
        </w:rPr>
        <w:t xml:space="preserve">Every outbound provider call ---- (1) APIRequestLog row (audit/debug trail)</w:t>
      </w:r>
    </w:p>
    <w:p>
      <w:pPr>
        <w:pStyle w:val="Heading2"/>
        <w:spacing w:after="120" w:before="200"/>
      </w:pPr>
      <w:r>
        <w:t xml:space="preserve">Key tables (illustrative, not 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Table</w:t>
            </w:r>
          </w:p>
        </w:tc>
        <w:tc>
          <w:tcPr>
            <w:tcW w:type="dxa" w:w="3120"/>
            <w:shd w:fill="1F3864" w:val="clear"/>
          </w:tcPr>
          <w:p>
            <w:r>
              <w:rPr>
                <w:b/>
                <w:bCs/>
                <w:color w:val="FFFFFF"/>
                <w:sz w:val="20"/>
                <w:szCs w:val="20"/>
              </w:rPr>
              <w:t xml:space="preserve">Key columns</w:t>
            </w:r>
          </w:p>
        </w:tc>
        <w:tc>
          <w:tcPr>
            <w:tcW w:type="dxa" w:w="3120"/>
            <w:shd w:fill="1F3864" w:val="clear"/>
          </w:tcPr>
          <w:p>
            <w:r>
              <w:rPr>
                <w:b/>
                <w:bCs/>
                <w:color w:val="FFFFFF"/>
                <w:sz w:val="20"/>
                <w:szCs w:val="20"/>
              </w:rPr>
              <w:t xml:space="preserve">Notes</w:t>
            </w:r>
          </w:p>
        </w:tc>
      </w:tr>
      <w:tr>
        <w:tc>
          <w:tcPr>
            <w:tcW w:type="dxa" w:w="3120"/>
            <w:shd w:fill="FFFFFF" w:val="clear"/>
          </w:tcPr>
          <w:p>
            <w:r>
              <w:rPr>
                <w:sz w:val="20"/>
                <w:szCs w:val="20"/>
              </w:rPr>
              <w:t xml:space="preserve">customers</w:t>
            </w:r>
          </w:p>
        </w:tc>
        <w:tc>
          <w:tcPr>
            <w:tcW w:type="dxa" w:w="3120"/>
            <w:shd w:fill="FFFFFF" w:val="clear"/>
          </w:tcPr>
          <w:p>
            <w:r>
              <w:rPr>
                <w:sz w:val="20"/>
                <w:szCs w:val="20"/>
              </w:rPr>
              <w:t xml:space="preserve">id, name, phone, email, address, created_at</w:t>
            </w:r>
          </w:p>
        </w:tc>
        <w:tc>
          <w:tcPr>
            <w:tcW w:type="dxa" w:w="3120"/>
            <w:shd w:fill="FFFFFF" w:val="clear"/>
          </w:tcPr>
          <w:p>
            <w:r>
              <w:rPr>
                <w:sz w:val="20"/>
                <w:szCs w:val="20"/>
              </w:rPr>
              <w:t xml:space="preserve">Phone is the primary contact channel for WhatsApp/voice; must be validated/normalized (E.164).</w:t>
            </w:r>
          </w:p>
        </w:tc>
      </w:tr>
      <w:tr>
        <w:tc>
          <w:tcPr>
            <w:tcW w:type="dxa" w:w="3120"/>
            <w:shd w:fill="F2F2F7" w:val="clear"/>
          </w:tcPr>
          <w:p>
            <w:r>
              <w:rPr>
                <w:sz w:val="20"/>
                <w:szCs w:val="20"/>
              </w:rPr>
              <w:t xml:space="preserve">orders</w:t>
            </w:r>
          </w:p>
        </w:tc>
        <w:tc>
          <w:tcPr>
            <w:tcW w:type="dxa" w:w="3120"/>
            <w:shd w:fill="F2F2F7" w:val="clear"/>
          </w:tcPr>
          <w:p>
            <w:r>
              <w:rPr>
                <w:sz w:val="20"/>
                <w:szCs w:val="20"/>
              </w:rPr>
              <w:t xml:space="preserve">id, customer_id, status, created_at</w:t>
            </w:r>
          </w:p>
        </w:tc>
        <w:tc>
          <w:tcPr>
            <w:tcW w:type="dxa" w:w="3120"/>
            <w:shd w:fill="F2F2F7" w:val="clear"/>
          </w:tcPr>
          <w:p>
            <w:r>
              <w:rPr>
                <w:sz w:val="20"/>
                <w:szCs w:val="20"/>
              </w:rPr>
              <w:t xml:space="preserve">One order can, in principle, produce more than one shipment (split shipments) — model order:shipment as 1:many even if 1:1 today.</w:t>
            </w:r>
          </w:p>
        </w:tc>
      </w:tr>
      <w:tr>
        <w:tc>
          <w:tcPr>
            <w:tcW w:type="dxa" w:w="3120"/>
            <w:shd w:fill="FFFFFF" w:val="clear"/>
          </w:tcPr>
          <w:p>
            <w:r>
              <w:rPr>
                <w:sz w:val="20"/>
                <w:szCs w:val="20"/>
              </w:rPr>
              <w:t xml:space="preserve">shipments</w:t>
            </w:r>
          </w:p>
        </w:tc>
        <w:tc>
          <w:tcPr>
            <w:tcW w:type="dxa" w:w="3120"/>
            <w:shd w:fill="FFFFFF" w:val="clear"/>
          </w:tcPr>
          <w:p>
            <w:r>
              <w:rPr>
                <w:sz w:val="20"/>
                <w:szCs w:val="20"/>
              </w:rPr>
              <w:t xml:space="preserve">id, order_id, internal_tracking_number, provider_id, current_status, last_synced_at</w:t>
            </w:r>
          </w:p>
        </w:tc>
        <w:tc>
          <w:tcPr>
            <w:tcW w:type="dxa" w:w="3120"/>
            <w:shd w:fill="FFFFFF" w:val="clear"/>
          </w:tcPr>
          <w:p>
            <w:r>
              <w:rPr>
                <w:sz w:val="20"/>
                <w:szCs w:val="20"/>
              </w:rPr>
              <w:t xml:space="preserve">internal_tracking_number is unique and customer-facing.</w:t>
            </w:r>
          </w:p>
        </w:tc>
      </w:tr>
      <w:tr>
        <w:tc>
          <w:tcPr>
            <w:tcW w:type="dxa" w:w="3120"/>
            <w:shd w:fill="F2F2F7" w:val="clear"/>
          </w:tcPr>
          <w:p>
            <w:r>
              <w:rPr>
                <w:sz w:val="20"/>
                <w:szCs w:val="20"/>
              </w:rPr>
              <w:t xml:space="preserve">shipping_providers</w:t>
            </w:r>
          </w:p>
        </w:tc>
        <w:tc>
          <w:tcPr>
            <w:tcW w:type="dxa" w:w="3120"/>
            <w:shd w:fill="F2F2F7" w:val="clear"/>
          </w:tcPr>
          <w:p>
            <w:r>
              <w:rPr>
                <w:sz w:val="20"/>
                <w:szCs w:val="20"/>
              </w:rPr>
              <w:t xml:space="preserve">id, code (e.g. 'ICL'), name, adapter_class, is_active, config (JSONB)</w:t>
            </w:r>
          </w:p>
        </w:tc>
        <w:tc>
          <w:tcPr>
            <w:tcW w:type="dxa" w:w="3120"/>
            <w:shd w:fill="F2F2F7" w:val="clear"/>
          </w:tcPr>
          <w:p>
            <w:r>
              <w:rPr>
                <w:sz w:val="20"/>
                <w:szCs w:val="20"/>
              </w:rPr>
              <w:t xml:space="preserve">Adding DHL later = one new row + one new adapter class, zero schema change.</w:t>
            </w:r>
          </w:p>
        </w:tc>
      </w:tr>
      <w:tr>
        <w:tc>
          <w:tcPr>
            <w:tcW w:type="dxa" w:w="3120"/>
            <w:shd w:fill="FFFFFF" w:val="clear"/>
          </w:tcPr>
          <w:p>
            <w:r>
              <w:rPr>
                <w:sz w:val="20"/>
                <w:szCs w:val="20"/>
              </w:rPr>
              <w:t xml:space="preserve">external_tracking_numbers</w:t>
            </w:r>
          </w:p>
        </w:tc>
        <w:tc>
          <w:tcPr>
            <w:tcW w:type="dxa" w:w="3120"/>
            <w:shd w:fill="FFFFFF" w:val="clear"/>
          </w:tcPr>
          <w:p>
            <w:r>
              <w:rPr>
                <w:sz w:val="20"/>
                <w:szCs w:val="20"/>
              </w:rPr>
              <w:t xml:space="preserve">id, shipment_id, provider_id, external_tracking_number, raw_metadata (JSONB)</w:t>
            </w:r>
          </w:p>
        </w:tc>
        <w:tc>
          <w:tcPr>
            <w:tcW w:type="dxa" w:w="3120"/>
            <w:shd w:fill="FFFFFF" w:val="clear"/>
          </w:tcPr>
          <w:p>
            <w:r>
              <w:rPr>
                <w:sz w:val="20"/>
                <w:szCs w:val="20"/>
              </w:rPr>
              <w:t xml:space="preserve">Kept as its own table (see relationship discussion below) rather than a column on shipments.</w:t>
            </w:r>
          </w:p>
        </w:tc>
      </w:tr>
      <w:tr>
        <w:tc>
          <w:tcPr>
            <w:tcW w:type="dxa" w:w="3120"/>
            <w:shd w:fill="F2F2F7" w:val="clear"/>
          </w:tcPr>
          <w:p>
            <w:r>
              <w:rPr>
                <w:sz w:val="20"/>
                <w:szCs w:val="20"/>
              </w:rPr>
              <w:t xml:space="preserve">tracking_events</w:t>
            </w:r>
          </w:p>
        </w:tc>
        <w:tc>
          <w:tcPr>
            <w:tcW w:type="dxa" w:w="3120"/>
            <w:shd w:fill="F2F2F7" w:val="clear"/>
          </w:tcPr>
          <w:p>
            <w:r>
              <w:rPr>
                <w:sz w:val="20"/>
                <w:szCs w:val="20"/>
              </w:rPr>
              <w:t xml:space="preserve">id, shipment_id, provider_id, raw_status, canonical_status_id, event_time, location, raw_payload (JSONB), created_at</w:t>
            </w:r>
          </w:p>
        </w:tc>
        <w:tc>
          <w:tcPr>
            <w:tcW w:type="dxa" w:w="3120"/>
            <w:shd w:fill="F2F2F7" w:val="clear"/>
          </w:tcPr>
          <w:p>
            <w:r>
              <w:rPr>
                <w:sz w:val="20"/>
                <w:szCs w:val="20"/>
              </w:rPr>
              <w:t xml:space="preserve">Append-only; this is the permanent tracking history.</w:t>
            </w:r>
          </w:p>
        </w:tc>
      </w:tr>
      <w:tr>
        <w:tc>
          <w:tcPr>
            <w:tcW w:type="dxa" w:w="3120"/>
            <w:shd w:fill="FFFFFF" w:val="clear"/>
          </w:tcPr>
          <w:p>
            <w:r>
              <w:rPr>
                <w:sz w:val="20"/>
                <w:szCs w:val="20"/>
              </w:rPr>
              <w:t xml:space="preserve">tracking_statuses</w:t>
            </w:r>
          </w:p>
        </w:tc>
        <w:tc>
          <w:tcPr>
            <w:tcW w:type="dxa" w:w="3120"/>
            <w:shd w:fill="FFFFFF" w:val="clear"/>
          </w:tcPr>
          <w:p>
            <w:r>
              <w:rPr>
                <w:sz w:val="20"/>
                <w:szCs w:val="20"/>
              </w:rPr>
              <w:t xml:space="preserve">id, code (e.g. PICKED_UP, IN_TRANSIT, OUT_FOR_DELIVERY, DELIVERED, EXCEPTION), display_label</w:t>
            </w:r>
          </w:p>
        </w:tc>
        <w:tc>
          <w:tcPr>
            <w:tcW w:type="dxa" w:w="3120"/>
            <w:shd w:fill="FFFFFF" w:val="clear"/>
          </w:tcPr>
          <w:p>
            <w:r>
              <w:rPr>
                <w:sz w:val="20"/>
                <w:szCs w:val="20"/>
              </w:rPr>
              <w:t xml:space="preserve">Canonical status vocabulary the frontend renders — provider status strings map into this.</w:t>
            </w:r>
          </w:p>
        </w:tc>
      </w:tr>
      <w:tr>
        <w:tc>
          <w:tcPr>
            <w:tcW w:type="dxa" w:w="3120"/>
            <w:shd w:fill="F2F2F7" w:val="clear"/>
          </w:tcPr>
          <w:p>
            <w:r>
              <w:rPr>
                <w:sz w:val="20"/>
                <w:szCs w:val="20"/>
              </w:rPr>
              <w:t xml:space="preserve">api_request_logs</w:t>
            </w:r>
          </w:p>
        </w:tc>
        <w:tc>
          <w:tcPr>
            <w:tcW w:type="dxa" w:w="3120"/>
            <w:shd w:fill="F2F2F7" w:val="clear"/>
          </w:tcPr>
          <w:p>
            <w:r>
              <w:rPr>
                <w:sz w:val="20"/>
                <w:szCs w:val="20"/>
              </w:rPr>
              <w:t xml:space="preserve">id, provider_id, shipment_id, request_url, request_payload, response_status, response_payload, latency_ms, created_at</w:t>
            </w:r>
          </w:p>
        </w:tc>
        <w:tc>
          <w:tcPr>
            <w:tcW w:type="dxa" w:w="3120"/>
            <w:shd w:fill="F2F2F7" w:val="clear"/>
          </w:tcPr>
          <w:p>
            <w:r>
              <w:rPr>
                <w:sz w:val="20"/>
                <w:szCs w:val="20"/>
              </w:rPr>
              <w:t xml:space="preserve">Essential for debugging ICL issues and for the admin "integration health" screen.</w:t>
            </w:r>
          </w:p>
        </w:tc>
      </w:tr>
      <w:tr>
        <w:tc>
          <w:tcPr>
            <w:tcW w:type="dxa" w:w="3120"/>
            <w:shd w:fill="FFFFFF" w:val="clear"/>
          </w:tcPr>
          <w:p>
            <w:r>
              <w:rPr>
                <w:sz w:val="20"/>
                <w:szCs w:val="20"/>
              </w:rPr>
              <w:t xml:space="preserve">admin_users / roles</w:t>
            </w:r>
          </w:p>
        </w:tc>
        <w:tc>
          <w:tcPr>
            <w:tcW w:type="dxa" w:w="3120"/>
            <w:shd w:fill="FFFFFF" w:val="clear"/>
          </w:tcPr>
          <w:p>
            <w:r>
              <w:rPr>
                <w:sz w:val="20"/>
                <w:szCs w:val="20"/>
              </w:rPr>
              <w:t xml:space="preserve">id, email, password_hash, role</w:t>
            </w:r>
          </w:p>
        </w:tc>
        <w:tc>
          <w:tcPr>
            <w:tcW w:type="dxa" w:w="3120"/>
            <w:shd w:fill="FFFFFF" w:val="clear"/>
          </w:tcPr>
          <w:p>
            <w:r>
              <w:rPr>
                <w:sz w:val="20"/>
                <w:szCs w:val="20"/>
              </w:rPr>
              <w:t xml:space="preserve">RBAC: customer / staff / admin.</w:t>
            </w:r>
          </w:p>
        </w:tc>
      </w:tr>
      <w:tr>
        <w:tc>
          <w:tcPr>
            <w:tcW w:type="dxa" w:w="3120"/>
            <w:shd w:fill="F2F2F7" w:val="clear"/>
          </w:tcPr>
          <w:p>
            <w:r>
              <w:rPr>
                <w:sz w:val="20"/>
                <w:szCs w:val="20"/>
              </w:rPr>
              <w:t xml:space="preserve">notifications</w:t>
            </w:r>
          </w:p>
        </w:tc>
        <w:tc>
          <w:tcPr>
            <w:tcW w:type="dxa" w:w="3120"/>
            <w:shd w:fill="F2F2F7" w:val="clear"/>
          </w:tcPr>
          <w:p>
            <w:r>
              <w:rPr>
                <w:sz w:val="20"/>
                <w:szCs w:val="20"/>
              </w:rPr>
              <w:t xml:space="preserve">id, customer_id, channel (whatsapp/sms/voice), template, status, sent_at</w:t>
            </w:r>
          </w:p>
        </w:tc>
        <w:tc>
          <w:tcPr>
            <w:tcW w:type="dxa" w:w="3120"/>
            <w:shd w:fill="F2F2F7" w:val="clear"/>
          </w:tcPr>
          <w:p>
            <w:r>
              <w:rPr>
                <w:sz w:val="20"/>
                <w:szCs w:val="20"/>
              </w:rPr>
              <w:t xml:space="preserve">Delivery log for WhatsApp/voice/SMS.</w:t>
            </w:r>
          </w:p>
        </w:tc>
      </w:tr>
      <w:tr>
        <w:tc>
          <w:tcPr>
            <w:tcW w:type="dxa" w:w="3120"/>
            <w:shd w:fill="FFFFFF" w:val="clear"/>
          </w:tcPr>
          <w:p>
            <w:r>
              <w:rPr>
                <w:sz w:val="20"/>
                <w:szCs w:val="20"/>
              </w:rPr>
              <w:t xml:space="preserve">audit_logs</w:t>
            </w:r>
          </w:p>
        </w:tc>
        <w:tc>
          <w:tcPr>
            <w:tcW w:type="dxa" w:w="3120"/>
            <w:shd w:fill="FFFFFF" w:val="clear"/>
          </w:tcPr>
          <w:p>
            <w:r>
              <w:rPr>
                <w:sz w:val="20"/>
                <w:szCs w:val="20"/>
              </w:rPr>
              <w:t xml:space="preserve">id, actor_id, action, entity, entity_id, before, after, created_at</w:t>
            </w:r>
          </w:p>
        </w:tc>
        <w:tc>
          <w:tcPr>
            <w:tcW w:type="dxa" w:w="3120"/>
            <w:shd w:fill="FFFFFF" w:val="clear"/>
          </w:tcPr>
          <w:p>
            <w:r>
              <w:rPr>
                <w:sz w:val="20"/>
                <w:szCs w:val="20"/>
              </w:rPr>
              <w:t xml:space="preserve">Every manual tracking override or admin edit is recorded here.</w:t>
            </w:r>
          </w:p>
        </w:tc>
      </w:tr>
    </w:tbl>
    <w:p>
      <w:pPr>
        <w:spacing w:after="200"/>
      </w:pPr>
      <w:r>
        <w:t xml:space="preserve"/>
      </w:r>
    </w:p>
    <w:p>
      <w:pPr>
        <w:pStyle w:val="Heading2"/>
        <w:spacing w:after="120" w:before="200"/>
      </w:pPr>
      <w:r>
        <w:t xml:space="preserve">One-to-one vs one-to-many mapping decision</w:t>
      </w:r>
    </w:p>
    <w:p>
      <w:pPr>
        <w:spacing w:after="160" w:line="276"/>
      </w:pPr>
      <w:r>
        <w:rPr>
          <w:sz w:val="22"/>
          <w:szCs w:val="22"/>
        </w:rPr>
        <w:t xml:space="preserve">The internal-to-external tracking number relationship should be modeled as one Shipment to many ExternalTrackingNumbers (one per provider used for that shipment), even though today it is effectively 1:1 with ICL. Reasons: some shipments legitimately involve more than one carrier leg in freight/logistics (first-mile pickup vendor, then a line-haul carrier); if the client ever re-ships or re-routes a shipment through a different provider, the history of the old external number must be preserved, not overwritten; and a many-capable table costs nothing extra to query in the common 1:1 case (a simple WHERE shipment_id = ? still returns one row) but avoids a painful migration the day a second provider or multi-leg shipment appears. In short: physically one-to-many, functionally used as one-to-one today — this is the standard "design for the shape the business will take, not just the shape it has" principle applied cheaply.</w:t>
      </w:r>
    </w:p>
    <w:p>
      <w:pPr>
        <w:pStyle w:val="Heading1"/>
        <w:spacing w:after="200" w:before="300"/>
      </w:pPr>
      <w:r>
        <w:t xml:space="preserve">11. Tracking System Architecture</w:t>
      </w:r>
    </w:p>
    <w:p>
      <w:pPr>
        <w:spacing w:after="160" w:line="276"/>
      </w:pPr>
      <w:r>
        <w:rPr>
          <w:sz w:val="22"/>
          <w:szCs w:val="22"/>
        </w:rPr>
        <w:t xml:space="preserve">The Tracking module owns exactly one responsibility: given an internal tracking number, return the best available canonical tracking state, refreshing from the provider according to the rules in Section 12. It exposes one clean internal interface to the rest of the system (TrackingService.getStatus(internalTrackingNumber)) and hides all provider-specific complexity behind the Provider Integration Layer described next.</w:t>
      </w:r>
    </w:p>
    <w:p>
      <w:pPr>
        <w:spacing w:after="160" w:line="276"/>
      </w:pPr>
      <w:r>
        <w:rPr>
          <w:sz w:val="22"/>
          <w:szCs w:val="22"/>
        </w:rPr>
        <w:t xml:space="preserve">The ShippingProvider interface (conceptually): connect/authenticate, trackShipment(externalTrackingNumber): NormalizedTrackingResult, and optionally createShipment(...) / cancelShipment(...) for future order-creation integration. Each concrete adapter (ICLAdapter today; DHLAdapter, FedExAdapter, UPSAdapter later) implements this interface and is solely responsible for translating to/from that specific provider's request/response format, authentication scheme, and status vocabulary. The Tracking Service, the database schema, and the frontend never change when a new adapter is added — only a new adapter class and a new shipping_providers row are needed, which directly satisfies the client's core requirement of not being locked into ICL.</w:t>
      </w:r>
    </w:p>
    <w:p>
      <w:pPr>
        <w:pStyle w:val="Heading1"/>
        <w:spacing w:after="200" w:before="300"/>
      </w:pPr>
      <w:r>
        <w:t xml:space="preserve">12. ICL API Research</w:t>
      </w:r>
    </w:p>
    <w:p>
      <w:pPr>
        <w:spacing w:after="160" w:line="276"/>
      </w:pPr>
      <w:r>
        <w:rPr>
          <w:sz w:val="22"/>
          <w:szCs w:val="22"/>
        </w:rPr>
        <w:t xml:space="preserve">A general web search did not surface a public developer/API documentation portal, sandbox environment, or self-service API key signup for the ICL that matches the client's described relationship (a courier/logistics partner the client sends parcel-level shipments through and receives a tracking reference from). Several distinct organizations share the "ICL" name in search results — a domestic Indian courier operating as "ICL Express"/"Integrated Couriers &amp; Logistics," and unrelated ocean-freight container lines ("Independent Container Line," "Indus Container Lines") — which is itself a useful finding: the client must confirm precisely which ICL entity it has a commercial relationship with, since these are different companies with different (if any) tracking APIs.</w:t>
      </w:r>
    </w:p>
    <w:p>
      <w:pPr>
        <w:spacing w:after="160" w:line="276"/>
      </w:pPr>
      <w:r>
        <w:rPr>
          <w:sz w:val="22"/>
          <w:szCs w:val="22"/>
        </w:rPr>
        <w:t xml:space="preserve">This is stated plainly rather than guessed at: no ICL API specification is invented in this document. Whatever integration details exist (authentication method, endpoint URLs, request/response schema, rate limits, SLAs, sandbox availability) must come directly from ICL's business/technical point of contact, most likely through the same account manager who manages the client's shipping contract. Section 31 provides the exact checklist to take into that conversation.</w:t>
      </w:r>
    </w:p>
    <w:p>
      <w:pPr>
        <w:spacing w:after="160" w:line="276"/>
      </w:pPr>
      <w:r>
        <w:rPr>
          <w:sz w:val="22"/>
          <w:szCs w:val="22"/>
        </w:rPr>
        <w:t xml:space="preserve">In the likely absence of a modern REST/JSON API, it is common for regional courier partners in this segment to offer one of: a legacy SOAP/XML API, a CSV/EDI batch file exchange (e.g., a nightly manifest and status file dropped on SFTP), a basic web-scrape-only tracking page with no API at all, or a REST API offered only to "integration partners" under a signed agreement (not publicly documented). The Provider Adapter architecture in this document is deliberately format-agnostic for exactly this reason — the ICLAdapter can wrap a REST call, a SOAP call, an SFTP/CSV poller, or even a scheduled scraper behind the same internal interface, so the rest of the system does not need to know or care which of these ICL actually turns out to require.</w:t>
      </w:r>
    </w:p>
    <w:p>
      <w:pPr>
        <w:pStyle w:val="Heading1"/>
        <w:spacing w:after="200" w:before="300"/>
      </w:pPr>
      <w:r>
        <w:t xml:space="preserve">13. External Provider Integration Architecture</w:t>
      </w:r>
    </w:p>
    <w:p>
      <w:pPr>
        <w:spacing w:after="160" w:line="276"/>
      </w:pPr>
      <w:r>
        <w:rPr>
          <w:sz w:val="22"/>
          <w:szCs w:val="22"/>
        </w:rPr>
        <w:t xml:space="preserve">Comparing the three architectural options 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Pr>
          <w:p>
            <w:r>
              <w:rPr>
                <w:b/>
                <w:bCs/>
                <w:color w:val="FFFFFF"/>
                <w:sz w:val="20"/>
                <w:szCs w:val="20"/>
              </w:rPr>
              <w:t xml:space="preserve">Option</w:t>
            </w:r>
          </w:p>
        </w:tc>
        <w:tc>
          <w:tcPr>
            <w:tcW w:type="dxa" w:w="2340"/>
            <w:shd w:fill="1F3864" w:val="clear"/>
          </w:tcPr>
          <w:p>
            <w:r>
              <w:rPr>
                <w:b/>
                <w:bCs/>
                <w:color w:val="FFFFFF"/>
                <w:sz w:val="20"/>
                <w:szCs w:val="20"/>
              </w:rPr>
              <w:t xml:space="preserve">Description</w:t>
            </w:r>
          </w:p>
        </w:tc>
        <w:tc>
          <w:tcPr>
            <w:tcW w:type="dxa" w:w="2340"/>
            <w:shd w:fill="1F3864" w:val="clear"/>
          </w:tcPr>
          <w:p>
            <w:r>
              <w:rPr>
                <w:b/>
                <w:bCs/>
                <w:color w:val="FFFFFF"/>
                <w:sz w:val="20"/>
                <w:szCs w:val="20"/>
              </w:rPr>
              <w:t xml:space="preserve">Best for</w:t>
            </w:r>
          </w:p>
        </w:tc>
        <w:tc>
          <w:tcPr>
            <w:tcW w:type="dxa" w:w="2340"/>
            <w:shd w:fill="1F3864" w:val="clear"/>
          </w:tcPr>
          <w:p>
            <w:r>
              <w:rPr>
                <w:b/>
                <w:bCs/>
                <w:color w:val="FFFFFF"/>
                <w:sz w:val="20"/>
                <w:szCs w:val="20"/>
              </w:rPr>
              <w:t xml:space="preserve">Trade-off</w:t>
            </w:r>
          </w:p>
        </w:tc>
      </w:tr>
      <w:tr>
        <w:tc>
          <w:tcPr>
            <w:tcW w:type="dxa" w:w="2340"/>
            <w:shd w:fill="FFFFFF" w:val="clear"/>
          </w:tcPr>
          <w:p>
            <w:r>
              <w:rPr>
                <w:sz w:val="20"/>
                <w:szCs w:val="20"/>
              </w:rPr>
              <w:t xml:space="preserve">A: Frontend → Backend → ICL API</w:t>
            </w:r>
          </w:p>
        </w:tc>
        <w:tc>
          <w:tcPr>
            <w:tcW w:type="dxa" w:w="2340"/>
            <w:shd w:fill="FFFFFF" w:val="clear"/>
          </w:tcPr>
          <w:p>
            <w:r>
              <w:rPr>
                <w:sz w:val="20"/>
                <w:szCs w:val="20"/>
              </w:rPr>
              <w:t xml:space="preserve">Backend calls ICL synchronously within the same request that serves the customer.</w:t>
            </w:r>
          </w:p>
        </w:tc>
        <w:tc>
          <w:tcPr>
            <w:tcW w:type="dxa" w:w="2340"/>
            <w:shd w:fill="FFFFFF" w:val="clear"/>
          </w:tcPr>
          <w:p>
            <w:r>
              <w:rPr>
                <w:sz w:val="20"/>
                <w:szCs w:val="20"/>
              </w:rPr>
              <w:t xml:space="preserve">Never — even for the simplest case, this couples user-facing latency directly to a third party's uptime.</w:t>
            </w:r>
          </w:p>
        </w:tc>
        <w:tc>
          <w:tcPr>
            <w:tcW w:type="dxa" w:w="2340"/>
            <w:shd w:fill="FFFFFF" w:val="clear"/>
          </w:tcPr>
          <w:p>
            <w:r>
              <w:rPr>
                <w:sz w:val="20"/>
                <w:szCs w:val="20"/>
              </w:rPr>
              <w:t xml:space="preserve">Simplest to write, worst for reliability/UX.</w:t>
            </w:r>
          </w:p>
        </w:tc>
      </w:tr>
      <w:tr>
        <w:tc>
          <w:tcPr>
            <w:tcW w:type="dxa" w:w="2340"/>
            <w:shd w:fill="F2F2F7" w:val="clear"/>
          </w:tcPr>
          <w:p>
            <w:r>
              <w:rPr>
                <w:sz w:val="20"/>
                <w:szCs w:val="20"/>
              </w:rPr>
              <w:t xml:space="preserve">B: Frontend → Backend → Integration Service → ICL API</w:t>
            </w:r>
          </w:p>
        </w:tc>
        <w:tc>
          <w:tcPr>
            <w:tcW w:type="dxa" w:w="2340"/>
            <w:shd w:fill="F2F2F7" w:val="clear"/>
          </w:tcPr>
          <w:p>
            <w:r>
              <w:rPr>
                <w:sz w:val="20"/>
                <w:szCs w:val="20"/>
              </w:rPr>
              <w:t xml:space="preserve">A dedicated internal Tracking/Integration Service (still inside the same request, or serving from cache) mediates every provider call, applying caching, retries, and normalization.</w:t>
            </w:r>
          </w:p>
        </w:tc>
        <w:tc>
          <w:tcPr>
            <w:tcW w:type="dxa" w:w="2340"/>
            <w:shd w:fill="F2F2F7" w:val="clear"/>
          </w:tcPr>
          <w:p>
            <w:r>
              <w:rPr>
                <w:sz w:val="20"/>
                <w:szCs w:val="20"/>
              </w:rPr>
              <w:t xml:space="preserve">Real-time customer-facing tracking lookups.</w:t>
            </w:r>
          </w:p>
        </w:tc>
        <w:tc>
          <w:tcPr>
            <w:tcW w:type="dxa" w:w="2340"/>
            <w:shd w:fill="F2F2F7" w:val="clear"/>
          </w:tcPr>
          <w:p>
            <w:r>
              <w:rPr>
                <w:sz w:val="20"/>
                <w:szCs w:val="20"/>
              </w:rPr>
              <w:t xml:space="preserve">Best balance of simplicity and resilience for the current scale — recommended.</w:t>
            </w:r>
          </w:p>
        </w:tc>
      </w:tr>
      <w:tr>
        <w:tc>
          <w:tcPr>
            <w:tcW w:type="dxa" w:w="2340"/>
            <w:shd w:fill="FFFFFF" w:val="clear"/>
          </w:tcPr>
          <w:p>
            <w:r>
              <w:rPr>
                <w:sz w:val="20"/>
                <w:szCs w:val="20"/>
              </w:rPr>
              <w:t xml:space="preserve">C: Frontend → Backend → Queue → Worker → ICL API</w:t>
            </w:r>
          </w:p>
        </w:tc>
        <w:tc>
          <w:tcPr>
            <w:tcW w:type="dxa" w:w="2340"/>
            <w:shd w:fill="FFFFFF" w:val="clear"/>
          </w:tcPr>
          <w:p>
            <w:r>
              <w:rPr>
                <w:sz w:val="20"/>
                <w:szCs w:val="20"/>
              </w:rPr>
              <w:t xml:space="preserve">The API call is decoupled from the HTTP request entirely; a background worker performs the call asynchronously and results become available on next poll/webhook.</w:t>
            </w:r>
          </w:p>
        </w:tc>
        <w:tc>
          <w:tcPr>
            <w:tcW w:type="dxa" w:w="2340"/>
            <w:shd w:fill="FFFFFF" w:val="clear"/>
          </w:tcPr>
          <w:p>
            <w:r>
              <w:rPr>
                <w:sz w:val="20"/>
                <w:szCs w:val="20"/>
              </w:rPr>
              <w:t xml:space="preserve">Bulk tracking refresh, shipment creation, and any workflow that does not need a synchronous answer.</w:t>
            </w:r>
          </w:p>
        </w:tc>
        <w:tc>
          <w:tcPr>
            <w:tcW w:type="dxa" w:w="2340"/>
            <w:shd w:fill="FFFFFF" w:val="clear"/>
          </w:tcPr>
          <w:p>
            <w:r>
              <w:rPr>
                <w:sz w:val="20"/>
                <w:szCs w:val="20"/>
              </w:rPr>
              <w:t xml:space="preserve">Adds infrastructure (queue/worker) but removes provider latency from user-facing requests — recommended for background sync, not for the live lookup itself.</w:t>
            </w:r>
          </w:p>
        </w:tc>
      </w:tr>
    </w:tbl>
    <w:p>
      <w:pPr>
        <w:spacing w:after="200"/>
      </w:pPr>
      <w:r>
        <w:t xml:space="preserve"/>
      </w:r>
    </w:p>
    <w:p>
      <w:pPr>
        <w:spacing w:after="160" w:line="276"/>
      </w:pPr>
      <w:r>
        <w:rPr>
          <w:sz w:val="22"/>
          <w:szCs w:val="22"/>
        </w:rPr>
        <w:t xml:space="preserve">Recommended split: real-time customer tracking lookups use Option B (Integration Service with cache-first, then a bounded-timeout live ICL call on cache miss). Shipment creation/updates and bulk/background synchronization use Option C (queued workers), because these do not block a customer waiting on a page, and queuing gives natural retry/backoff and protects against ICL rate limits. This hybrid is the standard pattern used by shipping aggregators (Shiprocket, EasyPost, ClickPost) and avoids overengineering a full queue-driven system before it is needed for the very first release, while leaving the queue infrastructure (BullMQ on Redis) ready to absorb WhatsApp/voice background jobs from day one.</w:t>
      </w:r>
    </w:p>
    <w:p>
      <w:pPr>
        <w:pStyle w:val="Heading1"/>
        <w:spacing w:after="200" w:before="300"/>
      </w:pPr>
      <w:r>
        <w:t xml:space="preserve">14. Project/File Structure</w:t>
      </w:r>
    </w:p>
    <w:p>
      <w:pPr>
        <w:spacing w:after="160" w:line="276"/>
      </w:pPr>
      <w:r>
        <w:rPr>
          <w:sz w:val="22"/>
          <w:szCs w:val="22"/>
        </w:rPr>
        <w:t xml:space="preserve">Recommended repository strategy: a monorepo with clearly separated frontend/backend/shared packages, not separate repos and not microservices. At the client's current and medium-term scale, a monorepo lets one small team keep frontend and backend types in sync (shared DTOs), run one CI pipeline, and version-tag releases together — while the modular monolith backend still gives each domain (tracking, orders, notifications) a clean internal boundary that could be extracted into its own service later if truly needed.</w:t>
      </w:r>
    </w:p>
    <w:p>
      <w:pPr>
        <w:shd w:fill="F2F2F2" w:val="clear"/>
        <w:spacing w:after="0"/>
      </w:pPr>
      <w:r>
        <w:rPr>
          <w:rFonts w:ascii="Consolas" w:cs="Consolas" w:eastAsia="Consolas" w:hAnsi="Consolas"/>
          <w:sz w:val="18"/>
          <w:szCs w:val="18"/>
        </w:rPr>
        <w:t xml:space="preserve">/nationwide-platform</w:t>
      </w:r>
    </w:p>
    <w:p>
      <w:pPr>
        <w:shd w:fill="F2F2F2" w:val="clear"/>
        <w:spacing w:after="0"/>
      </w:pPr>
      <w:r>
        <w:rPr>
          <w:rFonts w:ascii="Consolas" w:cs="Consolas" w:eastAsia="Consolas" w:hAnsi="Consolas"/>
          <w:sz w:val="18"/>
          <w:szCs w:val="18"/>
        </w:rPr>
        <w:t xml:space="preserve">  /apps</w:t>
      </w:r>
    </w:p>
    <w:p>
      <w:pPr>
        <w:shd w:fill="F2F2F2" w:val="clear"/>
        <w:spacing w:after="0"/>
      </w:pPr>
      <w:r>
        <w:rPr>
          <w:rFonts w:ascii="Consolas" w:cs="Consolas" w:eastAsia="Consolas" w:hAnsi="Consolas"/>
          <w:sz w:val="18"/>
          <w:szCs w:val="18"/>
        </w:rPr>
        <w:t xml:space="preserve">    /frontend                 (Next.js app)</w:t>
      </w:r>
    </w:p>
    <w:p>
      <w:pPr>
        <w:shd w:fill="F2F2F2" w:val="clear"/>
        <w:spacing w:after="0"/>
      </w:pPr>
      <w:r>
        <w:rPr>
          <w:rFonts w:ascii="Consolas" w:cs="Consolas" w:eastAsia="Consolas" w:hAnsi="Consolas"/>
          <w:sz w:val="18"/>
          <w:szCs w:val="18"/>
        </w:rPr>
        <w:t xml:space="preserve">      /app or /pages           - routes: /track, /orders, /admin/*</w:t>
      </w:r>
    </w:p>
    <w:p>
      <w:pPr>
        <w:shd w:fill="F2F2F2" w:val="clear"/>
        <w:spacing w:after="0"/>
      </w:pPr>
      <w:r>
        <w:rPr>
          <w:rFonts w:ascii="Consolas" w:cs="Consolas" w:eastAsia="Consolas" w:hAnsi="Consolas"/>
          <w:sz w:val="18"/>
          <w:szCs w:val="18"/>
        </w:rPr>
        <w:t xml:space="preserve">      /components              - shared UI components</w:t>
      </w:r>
    </w:p>
    <w:p>
      <w:pPr>
        <w:shd w:fill="F2F2F2" w:val="clear"/>
        <w:spacing w:after="0"/>
      </w:pPr>
      <w:r>
        <w:rPr>
          <w:rFonts w:ascii="Consolas" w:cs="Consolas" w:eastAsia="Consolas" w:hAnsi="Consolas"/>
          <w:sz w:val="18"/>
          <w:szCs w:val="18"/>
        </w:rPr>
        <w:t xml:space="preserve">      /features</w:t>
      </w:r>
    </w:p>
    <w:p>
      <w:pPr>
        <w:shd w:fill="F2F2F2" w:val="clear"/>
        <w:spacing w:after="0"/>
      </w:pPr>
      <w:r>
        <w:rPr>
          <w:rFonts w:ascii="Consolas" w:cs="Consolas" w:eastAsia="Consolas" w:hAnsi="Consolas"/>
          <w:sz w:val="18"/>
          <w:szCs w:val="18"/>
        </w:rPr>
        <w:t xml:space="preserve">        /tracking               - tracking search box, timeline view</w:t>
      </w:r>
    </w:p>
    <w:p>
      <w:pPr>
        <w:shd w:fill="F2F2F2" w:val="clear"/>
        <w:spacing w:after="0"/>
      </w:pPr>
      <w:r>
        <w:rPr>
          <w:rFonts w:ascii="Consolas" w:cs="Consolas" w:eastAsia="Consolas" w:hAnsi="Consolas"/>
          <w:sz w:val="18"/>
          <w:szCs w:val="18"/>
        </w:rPr>
        <w:t xml:space="preserve">        /orders                 - order history views</w:t>
      </w:r>
    </w:p>
    <w:p>
      <w:pPr>
        <w:shd w:fill="F2F2F2" w:val="clear"/>
        <w:spacing w:after="0"/>
      </w:pPr>
      <w:r>
        <w:rPr>
          <w:rFonts w:ascii="Consolas" w:cs="Consolas" w:eastAsia="Consolas" w:hAnsi="Consolas"/>
          <w:sz w:val="18"/>
          <w:szCs w:val="18"/>
        </w:rPr>
        <w:t xml:space="preserve">        /admin                  - admin dashboard screens</w:t>
      </w:r>
    </w:p>
    <w:p>
      <w:pPr>
        <w:shd w:fill="F2F2F2" w:val="clear"/>
        <w:spacing w:after="0"/>
      </w:pPr>
      <w:r>
        <w:rPr>
          <w:rFonts w:ascii="Consolas" w:cs="Consolas" w:eastAsia="Consolas" w:hAnsi="Consolas"/>
          <w:sz w:val="18"/>
          <w:szCs w:val="18"/>
        </w:rPr>
        <w:t xml:space="preserve">      /lib/api-client           - typed API client calling the backend</w:t>
      </w:r>
    </w:p>
    <w:p>
      <w:pPr>
        <w:shd w:fill="F2F2F2" w:val="clear"/>
        <w:spacing w:after="0"/>
      </w:pPr>
      <w:r>
        <w:rPr>
          <w:rFonts w:ascii="Consolas" w:cs="Consolas" w:eastAsia="Consolas" w:hAnsi="Consolas"/>
          <w:sz w:val="18"/>
          <w:szCs w:val="18"/>
        </w:rPr>
        <w:t xml:space="preserve">      /state                    - React Query / Zustand state management</w:t>
      </w:r>
    </w:p>
    <w:p>
      <w:pPr>
        <w:shd w:fill="F2F2F2" w:val="clear"/>
        <w:spacing w:after="0"/>
      </w:pPr>
      <w:r>
        <w:rPr>
          <w:rFonts w:ascii="Consolas" w:cs="Consolas" w:eastAsia="Consolas" w:hAnsi="Consolas"/>
          <w:sz w:val="18"/>
          <w:szCs w:val="18"/>
        </w:rPr>
        <w:t xml:space="preserve">    /backend                  (NestJS app)</w:t>
      </w:r>
    </w:p>
    <w:p>
      <w:pPr>
        <w:shd w:fill="F2F2F2" w:val="clear"/>
        <w:spacing w:after="0"/>
      </w:pPr>
      <w:r>
        <w:rPr>
          <w:rFonts w:ascii="Consolas" w:cs="Consolas" w:eastAsia="Consolas" w:hAnsi="Consolas"/>
          <w:sz w:val="18"/>
          <w:szCs w:val="18"/>
        </w:rPr>
        <w:t xml:space="preserve">      /src</w:t>
      </w:r>
    </w:p>
    <w:p>
      <w:pPr>
        <w:shd w:fill="F2F2F2" w:val="clear"/>
        <w:spacing w:after="0"/>
      </w:pPr>
      <w:r>
        <w:rPr>
          <w:rFonts w:ascii="Consolas" w:cs="Consolas" w:eastAsia="Consolas" w:hAnsi="Consolas"/>
          <w:sz w:val="18"/>
          <w:szCs w:val="18"/>
        </w:rPr>
        <w:t xml:space="preserve">        /modules</w:t>
      </w:r>
    </w:p>
    <w:p>
      <w:pPr>
        <w:shd w:fill="F2F2F2" w:val="clear"/>
        <w:spacing w:after="0"/>
      </w:pPr>
      <w:r>
        <w:rPr>
          <w:rFonts w:ascii="Consolas" w:cs="Consolas" w:eastAsia="Consolas" w:hAnsi="Consolas"/>
          <w:sz w:val="18"/>
          <w:szCs w:val="18"/>
        </w:rPr>
        <w:t xml:space="preserve">          /auth                 - login, JWT, RBAC guards</w:t>
      </w:r>
    </w:p>
    <w:p>
      <w:pPr>
        <w:shd w:fill="F2F2F2" w:val="clear"/>
        <w:spacing w:after="0"/>
      </w:pPr>
      <w:r>
        <w:rPr>
          <w:rFonts w:ascii="Consolas" w:cs="Consolas" w:eastAsia="Consolas" w:hAnsi="Consolas"/>
          <w:sz w:val="18"/>
          <w:szCs w:val="18"/>
        </w:rPr>
        <w:t xml:space="preserve">          /customers             - customer CRUD</w:t>
      </w:r>
    </w:p>
    <w:p>
      <w:pPr>
        <w:shd w:fill="F2F2F2" w:val="clear"/>
        <w:spacing w:after="0"/>
      </w:pPr>
      <w:r>
        <w:rPr>
          <w:rFonts w:ascii="Consolas" w:cs="Consolas" w:eastAsia="Consolas" w:hAnsi="Consolas"/>
          <w:sz w:val="18"/>
          <w:szCs w:val="18"/>
        </w:rPr>
        <w:t xml:space="preserve">          /orders                 - order lifecycle</w:t>
      </w:r>
    </w:p>
    <w:p>
      <w:pPr>
        <w:shd w:fill="F2F2F2" w:val="clear"/>
        <w:spacing w:after="0"/>
      </w:pPr>
      <w:r>
        <w:rPr>
          <w:rFonts w:ascii="Consolas" w:cs="Consolas" w:eastAsia="Consolas" w:hAnsi="Consolas"/>
          <w:sz w:val="18"/>
          <w:szCs w:val="18"/>
        </w:rPr>
        <w:t xml:space="preserve">          /shipments              - shipment records, internal tracking numbers</w:t>
      </w:r>
    </w:p>
    <w:p>
      <w:pPr>
        <w:shd w:fill="F2F2F2" w:val="clear"/>
        <w:spacing w:after="0"/>
      </w:pPr>
      <w:r>
        <w:rPr>
          <w:rFonts w:ascii="Consolas" w:cs="Consolas" w:eastAsia="Consolas" w:hAnsi="Consolas"/>
          <w:sz w:val="18"/>
          <w:szCs w:val="18"/>
        </w:rPr>
        <w:t xml:space="preserve">          /tracking                - TrackingService, cache logic, refresh rules</w:t>
      </w:r>
    </w:p>
    <w:p>
      <w:pPr>
        <w:shd w:fill="F2F2F2" w:val="clear"/>
        <w:spacing w:after="0"/>
      </w:pPr>
      <w:r>
        <w:rPr>
          <w:rFonts w:ascii="Consolas" w:cs="Consolas" w:eastAsia="Consolas" w:hAnsi="Consolas"/>
          <w:sz w:val="18"/>
          <w:szCs w:val="18"/>
        </w:rPr>
        <w:t xml:space="preserve">          /provider-integration</w:t>
      </w:r>
    </w:p>
    <w:p>
      <w:pPr>
        <w:shd w:fill="F2F2F2" w:val="clear"/>
        <w:spacing w:after="0"/>
      </w:pPr>
      <w:r>
        <w:rPr>
          <w:rFonts w:ascii="Consolas" w:cs="Consolas" w:eastAsia="Consolas" w:hAnsi="Consolas"/>
          <w:sz w:val="18"/>
          <w:szCs w:val="18"/>
        </w:rPr>
        <w:t xml:space="preserve">            /interfaces            - ShippingProvider contract</w:t>
      </w:r>
    </w:p>
    <w:p>
      <w:pPr>
        <w:shd w:fill="F2F2F2" w:val="clear"/>
        <w:spacing w:after="0"/>
      </w:pPr>
      <w:r>
        <w:rPr>
          <w:rFonts w:ascii="Consolas" w:cs="Consolas" w:eastAsia="Consolas" w:hAnsi="Consolas"/>
          <w:sz w:val="18"/>
          <w:szCs w:val="18"/>
        </w:rPr>
        <w:t xml:space="preserve">            /adapters</w:t>
      </w:r>
    </w:p>
    <w:p>
      <w:pPr>
        <w:shd w:fill="F2F2F2" w:val="clear"/>
        <w:spacing w:after="0"/>
      </w:pPr>
      <w:r>
        <w:rPr>
          <w:rFonts w:ascii="Consolas" w:cs="Consolas" w:eastAsia="Consolas" w:hAnsi="Consolas"/>
          <w:sz w:val="18"/>
          <w:szCs w:val="18"/>
        </w:rPr>
        <w:t xml:space="preserve">              /icl                  - ICLAdapter + ICL-specific DTOs/mappers</w:t>
      </w:r>
    </w:p>
    <w:p>
      <w:pPr>
        <w:shd w:fill="F2F2F2" w:val="clear"/>
        <w:spacing w:after="0"/>
      </w:pPr>
      <w:r>
        <w:rPr>
          <w:rFonts w:ascii="Consolas" w:cs="Consolas" w:eastAsia="Consolas" w:hAnsi="Consolas"/>
          <w:sz w:val="18"/>
          <w:szCs w:val="18"/>
        </w:rPr>
        <w:t xml:space="preserve">              /dhl (future)</w:t>
      </w:r>
    </w:p>
    <w:p>
      <w:pPr>
        <w:shd w:fill="F2F2F2" w:val="clear"/>
        <w:spacing w:after="0"/>
      </w:pPr>
      <w:r>
        <w:rPr>
          <w:rFonts w:ascii="Consolas" w:cs="Consolas" w:eastAsia="Consolas" w:hAnsi="Consolas"/>
          <w:sz w:val="18"/>
          <w:szCs w:val="18"/>
        </w:rPr>
        <w:t xml:space="preserve">              /fedex (future)</w:t>
      </w:r>
    </w:p>
    <w:p>
      <w:pPr>
        <w:shd w:fill="F2F2F2" w:val="clear"/>
        <w:spacing w:after="0"/>
      </w:pPr>
      <w:r>
        <w:rPr>
          <w:rFonts w:ascii="Consolas" w:cs="Consolas" w:eastAsia="Consolas" w:hAnsi="Consolas"/>
          <w:sz w:val="18"/>
          <w:szCs w:val="18"/>
        </w:rPr>
        <w:t xml:space="preserve">          /notifications</w:t>
      </w:r>
    </w:p>
    <w:p>
      <w:pPr>
        <w:shd w:fill="F2F2F2" w:val="clear"/>
        <w:spacing w:after="0"/>
      </w:pPr>
      <w:r>
        <w:rPr>
          <w:rFonts w:ascii="Consolas" w:cs="Consolas" w:eastAsia="Consolas" w:hAnsi="Consolas"/>
          <w:sz w:val="18"/>
          <w:szCs w:val="18"/>
        </w:rPr>
        <w:t xml:space="preserve">            /whatsapp               - WhatsApp Cloud API client + templates</w:t>
      </w:r>
    </w:p>
    <w:p>
      <w:pPr>
        <w:shd w:fill="F2F2F2" w:val="clear"/>
        <w:spacing w:after="0"/>
      </w:pPr>
      <w:r>
        <w:rPr>
          <w:rFonts w:ascii="Consolas" w:cs="Consolas" w:eastAsia="Consolas" w:hAnsi="Consolas"/>
          <w:sz w:val="18"/>
          <w:szCs w:val="18"/>
        </w:rPr>
        <w:t xml:space="preserve">            /voice                  - Exotel/Twilio voice integration</w:t>
      </w:r>
    </w:p>
    <w:p>
      <w:pPr>
        <w:shd w:fill="F2F2F2" w:val="clear"/>
        <w:spacing w:after="0"/>
      </w:pPr>
      <w:r>
        <w:rPr>
          <w:rFonts w:ascii="Consolas" w:cs="Consolas" w:eastAsia="Consolas" w:hAnsi="Consolas"/>
          <w:sz w:val="18"/>
          <w:szCs w:val="18"/>
        </w:rPr>
        <w:t xml:space="preserve">            /sms</w:t>
      </w:r>
    </w:p>
    <w:p>
      <w:pPr>
        <w:shd w:fill="F2F2F2" w:val="clear"/>
        <w:spacing w:after="0"/>
      </w:pPr>
      <w:r>
        <w:rPr>
          <w:rFonts w:ascii="Consolas" w:cs="Consolas" w:eastAsia="Consolas" w:hAnsi="Consolas"/>
          <w:sz w:val="18"/>
          <w:szCs w:val="18"/>
        </w:rPr>
        <w:t xml:space="preserve">          /admin                  - admin-only endpoints</w:t>
      </w:r>
    </w:p>
    <w:p>
      <w:pPr>
        <w:shd w:fill="F2F2F2" w:val="clear"/>
        <w:spacing w:after="0"/>
      </w:pPr>
      <w:r>
        <w:rPr>
          <w:rFonts w:ascii="Consolas" w:cs="Consolas" w:eastAsia="Consolas" w:hAnsi="Consolas"/>
          <w:sz w:val="18"/>
          <w:szCs w:val="18"/>
        </w:rPr>
        <w:t xml:space="preserve">          /jobs                   - BullMQ processors (refresh, notifications)</w:t>
      </w:r>
    </w:p>
    <w:p>
      <w:pPr>
        <w:shd w:fill="F2F2F2" w:val="clear"/>
        <w:spacing w:after="0"/>
      </w:pPr>
      <w:r>
        <w:rPr>
          <w:rFonts w:ascii="Consolas" w:cs="Consolas" w:eastAsia="Consolas" w:hAnsi="Consolas"/>
          <w:sz w:val="18"/>
          <w:szCs w:val="18"/>
        </w:rPr>
        <w:t xml:space="preserve">        /common</w:t>
      </w:r>
    </w:p>
    <w:p>
      <w:pPr>
        <w:shd w:fill="F2F2F2" w:val="clear"/>
        <w:spacing w:after="0"/>
      </w:pPr>
      <w:r>
        <w:rPr>
          <w:rFonts w:ascii="Consolas" w:cs="Consolas" w:eastAsia="Consolas" w:hAnsi="Consolas"/>
          <w:sz w:val="18"/>
          <w:szCs w:val="18"/>
        </w:rPr>
        <w:t xml:space="preserve">          /dto                    - shared request/response DTOs</w:t>
      </w:r>
    </w:p>
    <w:p>
      <w:pPr>
        <w:shd w:fill="F2F2F2" w:val="clear"/>
        <w:spacing w:after="0"/>
      </w:pPr>
      <w:r>
        <w:rPr>
          <w:rFonts w:ascii="Consolas" w:cs="Consolas" w:eastAsia="Consolas" w:hAnsi="Consolas"/>
          <w:sz w:val="18"/>
          <w:szCs w:val="18"/>
        </w:rPr>
        <w:t xml:space="preserve">          /validation             - class-validator pipes</w:t>
      </w:r>
    </w:p>
    <w:p>
      <w:pPr>
        <w:shd w:fill="F2F2F2" w:val="clear"/>
        <w:spacing w:after="0"/>
      </w:pPr>
      <w:r>
        <w:rPr>
          <w:rFonts w:ascii="Consolas" w:cs="Consolas" w:eastAsia="Consolas" w:hAnsi="Consolas"/>
          <w:sz w:val="18"/>
          <w:szCs w:val="18"/>
        </w:rPr>
        <w:t xml:space="preserve">          /guards                 - auth/role guards</w:t>
      </w:r>
    </w:p>
    <w:p>
      <w:pPr>
        <w:shd w:fill="F2F2F2" w:val="clear"/>
        <w:spacing w:after="0"/>
      </w:pPr>
      <w:r>
        <w:rPr>
          <w:rFonts w:ascii="Consolas" w:cs="Consolas" w:eastAsia="Consolas" w:hAnsi="Consolas"/>
          <w:sz w:val="18"/>
          <w:szCs w:val="18"/>
        </w:rPr>
        <w:t xml:space="preserve">          /interceptors           - logging, error normalization</w:t>
      </w:r>
    </w:p>
    <w:p>
      <w:pPr>
        <w:shd w:fill="F2F2F2" w:val="clear"/>
        <w:spacing w:after="0"/>
      </w:pPr>
      <w:r>
        <w:rPr>
          <w:rFonts w:ascii="Consolas" w:cs="Consolas" w:eastAsia="Consolas" w:hAnsi="Consolas"/>
          <w:sz w:val="18"/>
          <w:szCs w:val="18"/>
        </w:rPr>
        <w:t xml:space="preserve">          /config                 - typed config module (env validation)</w:t>
      </w:r>
    </w:p>
    <w:p>
      <w:pPr>
        <w:shd w:fill="F2F2F2" w:val="clear"/>
        <w:spacing w:after="0"/>
      </w:pPr>
      <w:r>
        <w:rPr>
          <w:rFonts w:ascii="Consolas" w:cs="Consolas" w:eastAsia="Consolas" w:hAnsi="Consolas"/>
          <w:sz w:val="18"/>
          <w:szCs w:val="18"/>
        </w:rPr>
        <w:t xml:space="preserve">        /database</w:t>
      </w:r>
    </w:p>
    <w:p>
      <w:pPr>
        <w:shd w:fill="F2F2F2" w:val="clear"/>
        <w:spacing w:after="0"/>
      </w:pPr>
      <w:r>
        <w:rPr>
          <w:rFonts w:ascii="Consolas" w:cs="Consolas" w:eastAsia="Consolas" w:hAnsi="Consolas"/>
          <w:sz w:val="18"/>
          <w:szCs w:val="18"/>
        </w:rPr>
        <w:t xml:space="preserve">          /prisma                 - schema.prisma, migrations</w:t>
      </w:r>
    </w:p>
    <w:p>
      <w:pPr>
        <w:shd w:fill="F2F2F2" w:val="clear"/>
        <w:spacing w:after="0"/>
      </w:pPr>
      <w:r>
        <w:rPr>
          <w:rFonts w:ascii="Consolas" w:cs="Consolas" w:eastAsia="Consolas" w:hAnsi="Consolas"/>
          <w:sz w:val="18"/>
          <w:szCs w:val="18"/>
        </w:rPr>
        <w:t xml:space="preserve">          /repositories            - query layer per module</w:t>
      </w:r>
    </w:p>
    <w:p>
      <w:pPr>
        <w:shd w:fill="F2F2F2" w:val="clear"/>
        <w:spacing w:after="0"/>
      </w:pPr>
      <w:r>
        <w:rPr>
          <w:rFonts w:ascii="Consolas" w:cs="Consolas" w:eastAsia="Consolas" w:hAnsi="Consolas"/>
          <w:sz w:val="18"/>
          <w:szCs w:val="18"/>
        </w:rPr>
        <w:t xml:space="preserve">        main.ts</w:t>
      </w:r>
    </w:p>
    <w:p>
      <w:pPr>
        <w:shd w:fill="F2F2F2" w:val="clear"/>
        <w:spacing w:after="0"/>
      </w:pPr>
      <w:r>
        <w:rPr>
          <w:rFonts w:ascii="Consolas" w:cs="Consolas" w:eastAsia="Consolas" w:hAnsi="Consolas"/>
          <w:sz w:val="18"/>
          <w:szCs w:val="18"/>
        </w:rPr>
        <w:t xml:space="preserve">  /packages</w:t>
      </w:r>
    </w:p>
    <w:p>
      <w:pPr>
        <w:shd w:fill="F2F2F2" w:val="clear"/>
        <w:spacing w:after="0"/>
      </w:pPr>
      <w:r>
        <w:rPr>
          <w:rFonts w:ascii="Consolas" w:cs="Consolas" w:eastAsia="Consolas" w:hAnsi="Consolas"/>
          <w:sz w:val="18"/>
          <w:szCs w:val="18"/>
        </w:rPr>
        <w:t xml:space="preserve">    /shared-types              - DTOs/enums shared between frontend and backend</w:t>
      </w:r>
    </w:p>
    <w:p>
      <w:pPr>
        <w:shd w:fill="F2F2F2" w:val="clear"/>
        <w:spacing w:after="0"/>
      </w:pPr>
      <w:r>
        <w:rPr>
          <w:rFonts w:ascii="Consolas" w:cs="Consolas" w:eastAsia="Consolas" w:hAnsi="Consolas"/>
          <w:sz w:val="18"/>
          <w:szCs w:val="18"/>
        </w:rPr>
        <w:t xml:space="preserve">  /infrastructure</w:t>
      </w:r>
    </w:p>
    <w:p>
      <w:pPr>
        <w:shd w:fill="F2F2F2" w:val="clear"/>
        <w:spacing w:after="0"/>
      </w:pPr>
      <w:r>
        <w:rPr>
          <w:rFonts w:ascii="Consolas" w:cs="Consolas" w:eastAsia="Consolas" w:hAnsi="Consolas"/>
          <w:sz w:val="18"/>
          <w:szCs w:val="18"/>
        </w:rPr>
        <w:t xml:space="preserve">    /docker                    - Dockerfiles, docker-compose for local dev</w:t>
      </w:r>
    </w:p>
    <w:p>
      <w:pPr>
        <w:shd w:fill="F2F2F2" w:val="clear"/>
        <w:spacing w:after="0"/>
      </w:pPr>
      <w:r>
        <w:rPr>
          <w:rFonts w:ascii="Consolas" w:cs="Consolas" w:eastAsia="Consolas" w:hAnsi="Consolas"/>
          <w:sz w:val="18"/>
          <w:szCs w:val="18"/>
        </w:rPr>
        <w:t xml:space="preserve">    /terraform or /pulumi      - IaC for cloud resources (once past the starter stage)</w:t>
      </w:r>
    </w:p>
    <w:p>
      <w:pPr>
        <w:shd w:fill="F2F2F2" w:val="clear"/>
        <w:spacing w:after="0"/>
      </w:pPr>
      <w:r>
        <w:rPr>
          <w:rFonts w:ascii="Consolas" w:cs="Consolas" w:eastAsia="Consolas" w:hAnsi="Consolas"/>
          <w:sz w:val="18"/>
          <w:szCs w:val="18"/>
        </w:rPr>
        <w:t xml:space="preserve">    /ci                        - GitHub Actions workflow definitions</w:t>
      </w:r>
    </w:p>
    <w:p>
      <w:pPr>
        <w:shd w:fill="F2F2F2" w:val="clear"/>
        <w:spacing w:after="0"/>
      </w:pPr>
      <w:r>
        <w:rPr>
          <w:rFonts w:ascii="Consolas" w:cs="Consolas" w:eastAsia="Consolas" w:hAnsi="Consolas"/>
          <w:sz w:val="18"/>
          <w:szCs w:val="18"/>
        </w:rPr>
        <w:t xml:space="preserve">  /docs                        - this document and future ADRs</w:t>
      </w:r>
    </w:p>
    <w:p>
      <w:pPr>
        <w:shd w:fill="F2F2F2" w:val="clear"/>
        <w:spacing w:after="0"/>
      </w:pPr>
      <w:r>
        <w:rPr>
          <w:rFonts w:ascii="Consolas" w:cs="Consolas" w:eastAsia="Consolas" w:hAnsi="Consolas"/>
          <w:sz w:val="18"/>
          <w:szCs w:val="18"/>
        </w:rPr>
        <w:t xml:space="preserve">  /tests</w:t>
      </w:r>
    </w:p>
    <w:p>
      <w:pPr>
        <w:shd w:fill="F2F2F2" w:val="clear"/>
        <w:spacing w:after="0"/>
      </w:pPr>
      <w:r>
        <w:rPr>
          <w:rFonts w:ascii="Consolas" w:cs="Consolas" w:eastAsia="Consolas" w:hAnsi="Consolas"/>
          <w:sz w:val="18"/>
          <w:szCs w:val="18"/>
        </w:rPr>
        <w:t xml:space="preserve">    /e2e                        - Playwright end-to-end tests</w:t>
      </w:r>
    </w:p>
    <w:p>
      <w:pPr>
        <w:shd w:fill="F2F2F2" w:val="clear"/>
        <w:spacing w:after="0"/>
      </w:pPr>
      <w:r>
        <w:rPr>
          <w:rFonts w:ascii="Consolas" w:cs="Consolas" w:eastAsia="Consolas" w:hAnsi="Consolas"/>
          <w:sz w:val="18"/>
          <w:szCs w:val="18"/>
        </w:rPr>
        <w:t xml:space="preserve">    /integration                 - API-level integration tests (mocked ICL)</w:t>
      </w:r>
    </w:p>
    <w:p>
      <w:pPr>
        <w:shd w:fill="F2F2F2" w:val="clear"/>
        <w:spacing w:after="0"/>
      </w:pPr>
      <w:r>
        <w:rPr>
          <w:rFonts w:ascii="Consolas" w:cs="Consolas" w:eastAsia="Consolas" w:hAnsi="Consolas"/>
          <w:sz w:val="18"/>
          <w:szCs w:val="18"/>
        </w:rPr>
        <w:t xml:space="preserve">  docker-compose.yml</w:t>
      </w:r>
    </w:p>
    <w:p>
      <w:pPr>
        <w:shd w:fill="F2F2F2" w:val="clear"/>
        <w:spacing w:after="200"/>
      </w:pPr>
      <w:r>
        <w:rPr>
          <w:rFonts w:ascii="Consolas" w:cs="Consolas" w:eastAsia="Consolas" w:hAnsi="Consolas"/>
          <w:sz w:val="18"/>
          <w:szCs w:val="18"/>
        </w:rPr>
        <w:t xml:space="preserve">  package.json (workspaces)</w:t>
      </w:r>
    </w:p>
    <w:p>
      <w:pPr>
        <w:spacing w:after="160" w:line="276"/>
      </w:pPr>
      <w:r>
        <w:rPr>
          <w:sz w:val="22"/>
          <w:szCs w:val="22"/>
        </w:rPr>
        <w:t xml:space="preserve">The provider-integration/adapters directory is the single most important structural decision in the whole layout: every ICL-specific field name, endpoint, and quirk lives inside /adapters/icl and nowhere else. Adding DHL later means adding /adapters/dhl and one new row in shipping_providers — no other module is touched.</w:t>
      </w:r>
    </w:p>
    <w:p>
      <w:pPr>
        <w:pStyle w:val="Heading1"/>
        <w:spacing w:after="200" w:before="300"/>
      </w:pPr>
      <w:r>
        <w:t xml:space="preserve">15. API Architecture</w:t>
      </w:r>
    </w:p>
    <w:p>
      <w:pPr>
        <w:spacing w:after="160" w:line="276"/>
      </w:pPr>
      <w:r>
        <w:rPr>
          <w:sz w:val="22"/>
          <w:szCs w:val="22"/>
        </w:rPr>
        <w:t xml:space="preserve">REST over JSON is recommended for the public and admin APIs — simpler tooling, caching, and debugging than GraphQL for this domain's relatively flat, resource-oriented shape (customers, orders, shipments, tracking events). GraphQL would be justified if the frontend needed highly flexible, deeply nested queries across many optional fields, which is not the case here. Internally, the Provider Adapter interface is a plain TypeScript contract, not a network API — adapters run in-process, so there is no internal-network hop or serialization overhead for calling ICL logic.</w:t>
      </w:r>
    </w:p>
    <w:p>
      <w:pPr>
        <w:spacing w:after="160" w:line="276"/>
      </w:pPr>
      <w:r>
        <w:rPr>
          <w:sz w:val="22"/>
          <w:szCs w:val="22"/>
        </w:rPr>
        <w:t xml:space="preserve">Public API surface (illustrative): GET /api/tracking/:internalTrackingNumber (public, rate-limited), POST /api/orders (authenticated customer), GET /api/orders/:id, GET /api/orders (customer's own history). Admin API surface: full CRUD under /api/admin/* protected by role guards, plus /api/admin/integrations/icl/health for the ICL monitoring screen.</w:t>
      </w:r>
    </w:p>
    <w:p>
      <w:pPr>
        <w:spacing w:after="160" w:line="276"/>
      </w:pPr>
      <w:r>
        <w:rPr>
          <w:sz w:val="22"/>
          <w:szCs w:val="22"/>
        </w:rPr>
        <w:t xml:space="preserve">Versioning: prefix routes with /api/v1/ from day one so future breaking changes (e.g., a materially different tracking response shape once more providers exist) can be introduced as /api/v2/ without breaking existing frontend or partner integrations.</w:t>
      </w:r>
    </w:p>
    <w:p>
      <w:pPr>
        <w:pStyle w:val="Heading1"/>
        <w:spacing w:after="200" w:before="300"/>
      </w:pPr>
      <w:r>
        <w:t xml:space="preserve">16. Authentication and Authorization</w:t>
      </w:r>
    </w:p>
    <w:p>
      <w:pPr>
        <w:spacing w:after="160" w:line="276"/>
      </w:pPr>
      <w:r>
        <w:rPr>
          <w:sz w:val="22"/>
          <w:szCs w:val="22"/>
        </w:rPr>
        <w:t xml:space="preserve">Recommended: JWT access tokens (short-lived, ~15 minutes) plus rotating refresh tokens (longer-lived, stored as httpOnly secure cookies) for customer and admin login. Public tracking lookups remain unauthenticated but are protected by IP-based and tracking-number-based rate limiting rather than requiring login, since forcing a customer to create an account just to check a package's status is poor UX and not required by the business flow described.</w:t>
      </w:r>
    </w:p>
    <w:p>
      <w:pPr>
        <w:spacing w:after="160" w:line="276"/>
      </w:pPr>
      <w:r>
        <w:rPr>
          <w:sz w:val="22"/>
          <w:szCs w:val="22"/>
        </w:rPr>
        <w:t xml:space="preserve">Authorization uses role-based access control (RBAC) with at least three roles: customer (own orders only), staff (day-to-day operational access: create/edit shipments, view tracking, send notifications), and admin (full access including user management, provider configuration, and audit logs). NestJS guards enforce this at the route level; row-level checks (a customer can only see their own orders) are enforced in the service/repository layer, never trusted from the frontend alone.</w:t>
      </w:r>
    </w:p>
    <w:p>
      <w:pPr>
        <w:spacing w:after="160" w:line="276"/>
      </w:pPr>
      <w:r>
        <w:rPr>
          <w:sz w:val="22"/>
          <w:szCs w:val="22"/>
        </w:rPr>
        <w:t xml:space="preserve">Buy-vs-build: rolling JWT auth in NestJS (via Passport) is a well-trodden path and reasonable to build in-house at this scale. If the team wants to avoid maintaining auth entirely, Clerk or Auth0 are credible managed alternatives, at the cost of a recurring per-user fee and slightly less flexibility for the customer-vs-staff-vs-admin distinction this system needs.</w:t>
      </w:r>
    </w:p>
    <w:p>
      <w:pPr>
        <w:pStyle w:val="Heading1"/>
        <w:spacing w:after="200" w:before="300"/>
      </w:pPr>
      <w:r>
        <w:t xml:space="preserve">17. Security Architecture</w:t>
      </w:r>
    </w:p>
    <w:p>
      <w:pPr>
        <w:spacing w:after="160" w:line="276"/>
      </w:pPr>
      <w:r>
        <w:rPr>
          <w:sz w:val="22"/>
          <w:szCs w:val="22"/>
        </w:rPr>
        <w:t xml:space="preserve">Transport and secrets: HTTPS/TLS everywhere (enforced via HSTS); all provider credentials (ICL, WhatsApp, Twilio/Exotel, cloud provider keys) stored in a secrets manager (AWS Secrets Manager, Doppler, or the hosting platform's built-in encrypted environment variables) — never committed to git, never present in any frontend bundle, and injected into the backend process only at runtime.</w:t>
      </w:r>
    </w:p>
    <w:p>
      <w:pPr>
        <w:spacing w:after="160" w:line="276"/>
      </w:pPr>
      <w:r>
        <w:rPr>
          <w:sz w:val="22"/>
          <w:szCs w:val="22"/>
        </w:rPr>
        <w:t xml:space="preserve">Application security: input validation on every endpoint via class-validator DTOs; parameterized queries via the ORM (Prisma) to eliminate SQL injection risk by construction; output encoding/React's default escaping to mitigate XSS; CSRF protection on any cookie-authenticated form submission; strict CORS configuration allowing only the known frontend origin(s); server-side allowlisting of outbound URLs for any feature that fetches a user-influenced URL, to prevent SSRF; rate limiting (per-IP and per-tracking-number) on the public tracking endpoint to prevent enumeration/scraping of tracking numbers and abuse of the ICL integration.</w:t>
      </w:r>
    </w:p>
    <w:p>
      <w:pPr>
        <w:spacing w:after="160" w:line="276"/>
      </w:pPr>
      <w:r>
        <w:rPr>
          <w:sz w:val="22"/>
          <w:szCs w:val="22"/>
        </w:rPr>
        <w:t xml:space="preserve">Auth and admin hardening: bcrypt/argon2 password hashing for any locally-stored admin/staff credentials; mandatory RBAC checks server-side (never trust a frontend role flag); full audit logging of every admin action (who changed what tracking record, when); optional 2FA for admin accounts given they can view customer PII and override tracking data.</w:t>
      </w:r>
    </w:p>
    <w:p>
      <w:pPr>
        <w:spacing w:after="160" w:line="276"/>
      </w:pPr>
      <w:r>
        <w:rPr>
          <w:sz w:val="22"/>
          <w:szCs w:val="22"/>
        </w:rPr>
        <w:t xml:space="preserve">Credential storage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Credential</w:t>
            </w:r>
          </w:p>
        </w:tc>
        <w:tc>
          <w:tcPr>
            <w:tcW w:type="dxa" w:w="3120"/>
            <w:shd w:fill="1F3864" w:val="clear"/>
          </w:tcPr>
          <w:p>
            <w:r>
              <w:rPr>
                <w:b/>
                <w:bCs/>
                <w:color w:val="FFFFFF"/>
                <w:sz w:val="20"/>
                <w:szCs w:val="20"/>
              </w:rPr>
              <w:t xml:space="preserve">Where it lives</w:t>
            </w:r>
          </w:p>
        </w:tc>
        <w:tc>
          <w:tcPr>
            <w:tcW w:type="dxa" w:w="3120"/>
            <w:shd w:fill="1F3864" w:val="clear"/>
          </w:tcPr>
          <w:p>
            <w:r>
              <w:rPr>
                <w:b/>
                <w:bCs/>
                <w:color w:val="FFFFFF"/>
                <w:sz w:val="20"/>
                <w:szCs w:val="20"/>
              </w:rPr>
              <w:t xml:space="preserve">Never lives</w:t>
            </w:r>
          </w:p>
        </w:tc>
      </w:tr>
      <w:tr>
        <w:tc>
          <w:tcPr>
            <w:tcW w:type="dxa" w:w="3120"/>
            <w:shd w:fill="FFFFFF" w:val="clear"/>
          </w:tcPr>
          <w:p>
            <w:r>
              <w:rPr>
                <w:sz w:val="20"/>
                <w:szCs w:val="20"/>
              </w:rPr>
              <w:t xml:space="preserve">ICL API key/credentials</w:t>
            </w:r>
          </w:p>
        </w:tc>
        <w:tc>
          <w:tcPr>
            <w:tcW w:type="dxa" w:w="3120"/>
            <w:shd w:fill="FFFFFF" w:val="clear"/>
          </w:tcPr>
          <w:p>
            <w:r>
              <w:rPr>
                <w:sz w:val="20"/>
                <w:szCs w:val="20"/>
              </w:rPr>
              <w:t xml:space="preserve">Backend secrets manager, injected as env vars at runtime</w:t>
            </w:r>
          </w:p>
        </w:tc>
        <w:tc>
          <w:tcPr>
            <w:tcW w:type="dxa" w:w="3120"/>
            <w:shd w:fill="FFFFFF" w:val="clear"/>
          </w:tcPr>
          <w:p>
            <w:r>
              <w:rPr>
                <w:sz w:val="20"/>
                <w:szCs w:val="20"/>
              </w:rPr>
              <w:t xml:space="preserve">Frontend code, git repo, logs</w:t>
            </w:r>
          </w:p>
        </w:tc>
      </w:tr>
      <w:tr>
        <w:tc>
          <w:tcPr>
            <w:tcW w:type="dxa" w:w="3120"/>
            <w:shd w:fill="F2F2F7" w:val="clear"/>
          </w:tcPr>
          <w:p>
            <w:r>
              <w:rPr>
                <w:sz w:val="20"/>
                <w:szCs w:val="20"/>
              </w:rPr>
              <w:t xml:space="preserve">Database credentials</w:t>
            </w:r>
          </w:p>
        </w:tc>
        <w:tc>
          <w:tcPr>
            <w:tcW w:type="dxa" w:w="3120"/>
            <w:shd w:fill="F2F2F7" w:val="clear"/>
          </w:tcPr>
          <w:p>
            <w:r>
              <w:rPr>
                <w:sz w:val="20"/>
                <w:szCs w:val="20"/>
              </w:rPr>
              <w:t xml:space="preserve">Secrets manager / platform-managed connection string</w:t>
            </w:r>
          </w:p>
        </w:tc>
        <w:tc>
          <w:tcPr>
            <w:tcW w:type="dxa" w:w="3120"/>
            <w:shd w:fill="F2F2F7" w:val="clear"/>
          </w:tcPr>
          <w:p>
            <w:r>
              <w:rPr>
                <w:sz w:val="20"/>
                <w:szCs w:val="20"/>
              </w:rPr>
              <w:t xml:space="preserve">Frontend, client-side config</w:t>
            </w:r>
          </w:p>
        </w:tc>
      </w:tr>
      <w:tr>
        <w:tc>
          <w:tcPr>
            <w:tcW w:type="dxa" w:w="3120"/>
            <w:shd w:fill="FFFFFF" w:val="clear"/>
          </w:tcPr>
          <w:p>
            <w:r>
              <w:rPr>
                <w:sz w:val="20"/>
                <w:szCs w:val="20"/>
              </w:rPr>
              <w:t xml:space="preserve">WhatsApp Cloud API token</w:t>
            </w:r>
          </w:p>
        </w:tc>
        <w:tc>
          <w:tcPr>
            <w:tcW w:type="dxa" w:w="3120"/>
            <w:shd w:fill="FFFFFF" w:val="clear"/>
          </w:tcPr>
          <w:p>
            <w:r>
              <w:rPr>
                <w:sz w:val="20"/>
                <w:szCs w:val="20"/>
              </w:rPr>
              <w:t xml:space="preserve">Backend secrets manager</w:t>
            </w:r>
          </w:p>
        </w:tc>
        <w:tc>
          <w:tcPr>
            <w:tcW w:type="dxa" w:w="3120"/>
            <w:shd w:fill="FFFFFF" w:val="clear"/>
          </w:tcPr>
          <w:p>
            <w:r>
              <w:rPr>
                <w:sz w:val="20"/>
                <w:szCs w:val="20"/>
              </w:rPr>
              <w:t xml:space="preserve">Frontend, WhatsApp webhook URLs in plain query strings</w:t>
            </w:r>
          </w:p>
        </w:tc>
      </w:tr>
      <w:tr>
        <w:tc>
          <w:tcPr>
            <w:tcW w:type="dxa" w:w="3120"/>
            <w:shd w:fill="F2F2F7" w:val="clear"/>
          </w:tcPr>
          <w:p>
            <w:r>
              <w:rPr>
                <w:sz w:val="20"/>
                <w:szCs w:val="20"/>
              </w:rPr>
              <w:t xml:space="preserve">Twilio/Exotel credentials</w:t>
            </w:r>
          </w:p>
        </w:tc>
        <w:tc>
          <w:tcPr>
            <w:tcW w:type="dxa" w:w="3120"/>
            <w:shd w:fill="F2F2F7" w:val="clear"/>
          </w:tcPr>
          <w:p>
            <w:r>
              <w:rPr>
                <w:sz w:val="20"/>
                <w:szCs w:val="20"/>
              </w:rPr>
              <w:t xml:space="preserve">Backend secrets manager</w:t>
            </w:r>
          </w:p>
        </w:tc>
        <w:tc>
          <w:tcPr>
            <w:tcW w:type="dxa" w:w="3120"/>
            <w:shd w:fill="F2F2F7" w:val="clear"/>
          </w:tcPr>
          <w:p>
            <w:r>
              <w:rPr>
                <w:sz w:val="20"/>
                <w:szCs w:val="20"/>
              </w:rPr>
              <w:t xml:space="preserve">Frontend, mobile app bundles</w:t>
            </w:r>
          </w:p>
        </w:tc>
      </w:tr>
      <w:tr>
        <w:tc>
          <w:tcPr>
            <w:tcW w:type="dxa" w:w="3120"/>
            <w:shd w:fill="FFFFFF" w:val="clear"/>
          </w:tcPr>
          <w:p>
            <w:r>
              <w:rPr>
                <w:sz w:val="20"/>
                <w:szCs w:val="20"/>
              </w:rPr>
              <w:t xml:space="preserve">Cloud provider keys (S3, CI deploy keys)</w:t>
            </w:r>
          </w:p>
        </w:tc>
        <w:tc>
          <w:tcPr>
            <w:tcW w:type="dxa" w:w="3120"/>
            <w:shd w:fill="FFFFFF" w:val="clear"/>
          </w:tcPr>
          <w:p>
            <w:r>
              <w:rPr>
                <w:sz w:val="20"/>
                <w:szCs w:val="20"/>
              </w:rPr>
              <w:t xml:space="preserve">CI/CD secret store (GitHub Actions secrets) + cloud IAM roles where possible</w:t>
            </w:r>
          </w:p>
        </w:tc>
        <w:tc>
          <w:tcPr>
            <w:tcW w:type="dxa" w:w="3120"/>
            <w:shd w:fill="FFFFFF" w:val="clear"/>
          </w:tcPr>
          <w:p>
            <w:r>
              <w:rPr>
                <w:sz w:val="20"/>
                <w:szCs w:val="20"/>
              </w:rPr>
              <w:t xml:space="preserve">Repo files, Slack/WhatsApp messages</w:t>
            </w:r>
          </w:p>
        </w:tc>
      </w:tr>
    </w:tbl>
    <w:p>
      <w:pPr>
        <w:spacing w:after="200"/>
      </w:pPr>
      <w:r>
        <w:t xml:space="preserve"/>
      </w:r>
    </w:p>
    <w:p>
      <w:pPr>
        <w:pStyle w:val="Heading1"/>
        <w:spacing w:after="200" w:before="300"/>
      </w:pPr>
      <w:r>
        <w:t xml:space="preserve">18. WhatsApp Automation Options</w:t>
      </w:r>
    </w:p>
    <w:p>
      <w:pPr>
        <w:spacing w:after="160" w:line="276"/>
      </w:pPr>
      <w:r>
        <w:rPr>
          <w:sz w:val="22"/>
          <w:szCs w:val="22"/>
        </w:rPr>
        <w:t xml:space="preserve">Recommended: the official Meta WhatsApp Business Platform (Cloud API), used either directly or through an authorized Business Solution Provider (BSP) such as AiSensy, Interakt, Gupshup, or Twilio's WhatsApp integration for easier template management and India-specific billing. Only official, policy-compliant channels are considered — unofficial WhatsApp automation (browser-automation "bots" against personal WhatsApp) is against WhatsApp's Terms of Service, risks number bans, and is not recommended under any circumstance.</w:t>
      </w:r>
    </w:p>
    <w:p>
      <w:pPr>
        <w:spacing w:after="160" w:line="276"/>
      </w:pPr>
      <w:r>
        <w:rPr>
          <w:sz w:val="22"/>
          <w:szCs w:val="22"/>
        </w:rPr>
        <w:t xml:space="preserve">Pricing model (current as of research; verify at implementation time since Meta has changed this model before — most recently shifting to per-message billing effective July 1, 2025): messages are billed per delivered template message rather than per 24-hour conversation. As of the most recent published India rates, utility and authentication templates cost roughly ₹0.11–0.12 per message, while marketing templates cost roughly ₹0.86 per message; service-window replies to a customer-initiated conversation remain free. This makes transactional tracking-update messages (utility category) inexpensive at the volumes a growing courier business would send, while promotional/marketing blasts are meaningfully more expensive and should be used sparingly.</w:t>
      </w:r>
    </w:p>
    <w:p>
      <w:pPr>
        <w:spacing w:after="160" w:line="276"/>
      </w:pPr>
      <w:r>
        <w:rPr>
          <w:sz w:val="22"/>
          <w:szCs w:val="22"/>
        </w:rPr>
        <w:t xml:space="preserve">Setup requirements: a Meta Business Manager account, a verified WhatsApp Business Account (WABA), business verification (legal business documents), a dedicated phone number not already active on personal/Business App WhatsApp, and pre-approved message templates for each notification type (order confirmation, pickup confirmation, tracking-number-assigned, in-transit update, out-for-delivery, delivered, delivery exception).</w:t>
      </w:r>
    </w:p>
    <w:p>
      <w:pPr>
        <w:spacing w:after="160" w:line="276"/>
      </w:pPr>
      <w:r>
        <w:rPr>
          <w:sz w:val="22"/>
          <w:szCs w:val="22"/>
        </w:rPr>
        <w:t xml:space="preserve">Example workflow: Order created → backend enqueues a "send order confirmation" job → worker calls the WhatsApp Cloud API with the approved order-confirmation template → delivery status (sent/delivered/read/failed) is written back via WhatsApp's webhook into the notifications table. The same pattern repeats for shipment-created, tracking-number-assigned, and each subsequent status change, all driven off the same background job queue (BullMQ) used for tracking refresh, with retry-with-backoff on transient failures and a dead-letter/alert path for repeated failures so a broken template or expired token surfaces to admins quickly rather than silently dropping messages.</w:t>
      </w:r>
    </w:p>
    <w:p>
      <w:pPr>
        <w:pStyle w:val="Heading1"/>
        <w:spacing w:after="200" w:before="300"/>
      </w:pPr>
      <w:r>
        <w:t xml:space="preserve">19. Call Automation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Provider</w:t>
            </w:r>
          </w:p>
        </w:tc>
        <w:tc>
          <w:tcPr>
            <w:tcW w:type="dxa" w:w="3120"/>
            <w:shd w:fill="1F3864" w:val="clear"/>
          </w:tcPr>
          <w:p>
            <w:r>
              <w:rPr>
                <w:b/>
                <w:bCs/>
                <w:color w:val="FFFFFF"/>
                <w:sz w:val="20"/>
                <w:szCs w:val="20"/>
              </w:rPr>
              <w:t xml:space="preserve">Strengths</w:t>
            </w:r>
          </w:p>
        </w:tc>
        <w:tc>
          <w:tcPr>
            <w:tcW w:type="dxa" w:w="3120"/>
            <w:shd w:fill="1F3864" w:val="clear"/>
          </w:tcPr>
          <w:p>
            <w:r>
              <w:rPr>
                <w:b/>
                <w:bCs/>
                <w:color w:val="FFFFFF"/>
                <w:sz w:val="20"/>
                <w:szCs w:val="20"/>
              </w:rPr>
              <w:t xml:space="preserve">Best fit</w:t>
            </w:r>
          </w:p>
        </w:tc>
      </w:tr>
      <w:tr>
        <w:tc>
          <w:tcPr>
            <w:tcW w:type="dxa" w:w="3120"/>
            <w:shd w:fill="FFFFFF" w:val="clear"/>
          </w:tcPr>
          <w:p>
            <w:r>
              <w:rPr>
                <w:sz w:val="20"/>
                <w:szCs w:val="20"/>
              </w:rPr>
              <w:t xml:space="preserve">Exotel</w:t>
            </w:r>
          </w:p>
        </w:tc>
        <w:tc>
          <w:tcPr>
            <w:tcW w:type="dxa" w:w="3120"/>
            <w:shd w:fill="FFFFFF" w:val="clear"/>
          </w:tcPr>
          <w:p>
            <w:r>
              <w:rPr>
                <w:sz w:val="20"/>
                <w:szCs w:val="20"/>
              </w:rPr>
              <w:t xml:space="preserve">India-first product, strong DLT/TRAI compliance tooling built in, competitive per-minute pricing for Indian numbers, good IVR/call-recording features, widely used by Indian logistics/e-commerce companies</w:t>
            </w:r>
          </w:p>
        </w:tc>
        <w:tc>
          <w:tcPr>
            <w:tcW w:type="dxa" w:w="3120"/>
            <w:shd w:fill="FFFFFF" w:val="clear"/>
          </w:tcPr>
          <w:p>
            <w:r>
              <w:rPr>
                <w:sz w:val="20"/>
                <w:szCs w:val="20"/>
              </w:rPr>
              <w:t xml:space="preserve">Recommended default for an India-focused courier business, from small deployment through growth stage</w:t>
            </w:r>
          </w:p>
        </w:tc>
      </w:tr>
      <w:tr>
        <w:tc>
          <w:tcPr>
            <w:tcW w:type="dxa" w:w="3120"/>
            <w:shd w:fill="F2F2F7" w:val="clear"/>
          </w:tcPr>
          <w:p>
            <w:r>
              <w:rPr>
                <w:sz w:val="20"/>
                <w:szCs w:val="20"/>
              </w:rPr>
              <w:t xml:space="preserve">Knowlarity</w:t>
            </w:r>
          </w:p>
        </w:tc>
        <w:tc>
          <w:tcPr>
            <w:tcW w:type="dxa" w:w="3120"/>
            <w:shd w:fill="F2F2F7" w:val="clear"/>
          </w:tcPr>
          <w:p>
            <w:r>
              <w:rPr>
                <w:sz w:val="20"/>
                <w:szCs w:val="20"/>
              </w:rPr>
              <w:t xml:space="preserve">Also India-focused, comparable feature set to Exotel</w:t>
            </w:r>
          </w:p>
        </w:tc>
        <w:tc>
          <w:tcPr>
            <w:tcW w:type="dxa" w:w="3120"/>
            <w:shd w:fill="F2F2F7" w:val="clear"/>
          </w:tcPr>
          <w:p>
            <w:r>
              <w:rPr>
                <w:sz w:val="20"/>
                <w:szCs w:val="20"/>
              </w:rPr>
              <w:t xml:space="preserve">Reasonable alternative; evaluate current pricing/support quality against Exotel at contract time</w:t>
            </w:r>
          </w:p>
        </w:tc>
      </w:tr>
      <w:tr>
        <w:tc>
          <w:tcPr>
            <w:tcW w:type="dxa" w:w="3120"/>
            <w:shd w:fill="FFFFFF" w:val="clear"/>
          </w:tcPr>
          <w:p>
            <w:r>
              <w:rPr>
                <w:sz w:val="20"/>
                <w:szCs w:val="20"/>
              </w:rPr>
              <w:t xml:space="preserve">Twilio Voice</w:t>
            </w:r>
          </w:p>
        </w:tc>
        <w:tc>
          <w:tcPr>
            <w:tcW w:type="dxa" w:w="3120"/>
            <w:shd w:fill="FFFFFF" w:val="clear"/>
          </w:tcPr>
          <w:p>
            <w:r>
              <w:rPr>
                <w:sz w:val="20"/>
                <w:szCs w:val="20"/>
              </w:rPr>
              <w:t xml:space="preserve">Best-in-class global API design and documentation, strong for multi-country expansion</w:t>
            </w:r>
          </w:p>
        </w:tc>
        <w:tc>
          <w:tcPr>
            <w:tcW w:type="dxa" w:w="3120"/>
            <w:shd w:fill="FFFFFF" w:val="clear"/>
          </w:tcPr>
          <w:p>
            <w:r>
              <w:rPr>
                <w:sz w:val="20"/>
                <w:szCs w:val="20"/>
              </w:rPr>
              <w:t xml:space="preserve">Consider if/when the business expands outside India; otherwise typically costlier per-minute for pure India traffic than India-first providers</w:t>
            </w:r>
          </w:p>
        </w:tc>
      </w:tr>
      <w:tr>
        <w:tc>
          <w:tcPr>
            <w:tcW w:type="dxa" w:w="3120"/>
            <w:shd w:fill="F2F2F7" w:val="clear"/>
          </w:tcPr>
          <w:p>
            <w:r>
              <w:rPr>
                <w:sz w:val="20"/>
                <w:szCs w:val="20"/>
              </w:rPr>
              <w:t xml:space="preserve">Amazon Connect</w:t>
            </w:r>
          </w:p>
        </w:tc>
        <w:tc>
          <w:tcPr>
            <w:tcW w:type="dxa" w:w="3120"/>
            <w:shd w:fill="F2F2F7" w:val="clear"/>
          </w:tcPr>
          <w:p>
            <w:r>
              <w:rPr>
                <w:sz w:val="20"/>
                <w:szCs w:val="20"/>
              </w:rPr>
              <w:t xml:space="preserve">Enterprise-grade contact center, deep AWS integration, strong for large support teams with agent routing/analytics needs</w:t>
            </w:r>
          </w:p>
        </w:tc>
        <w:tc>
          <w:tcPr>
            <w:tcW w:type="dxa" w:w="3120"/>
            <w:shd w:fill="F2F2F7" w:val="clear"/>
          </w:tcPr>
          <w:p>
            <w:r>
              <w:rPr>
                <w:sz w:val="20"/>
                <w:szCs w:val="20"/>
              </w:rPr>
              <w:t xml:space="preserve">Enterprise-scale consideration only — overkill for current stage</w:t>
            </w:r>
          </w:p>
        </w:tc>
      </w:tr>
    </w:tbl>
    <w:p>
      <w:pPr>
        <w:spacing w:after="200"/>
      </w:pPr>
      <w:r>
        <w:t xml:space="preserve"/>
      </w:r>
    </w:p>
    <w:p>
      <w:pPr>
        <w:spacing w:after="160" w:line="276"/>
      </w:pPr>
      <w:r>
        <w:rPr>
          <w:sz w:val="22"/>
          <w:szCs w:val="22"/>
        </w:rPr>
        <w:t xml:space="preserve">Recommended near-term use cases for voice: OTP/verification calls as a fallback channel when WhatsApp/SMS delivery fails, automated delivery-attempt and pickup-reminder calls, and a simple missed-call-to-callback workflow for customer support. Full outbound IVR campaigns and agent-routed support calls are reasonable Phase-2/3 additions once notification volume justifies the added complexity.</w:t>
      </w:r>
    </w:p>
    <w:p>
      <w:pPr>
        <w:spacing w:after="160" w:line="276"/>
      </w:pPr>
      <w:r>
        <w:rPr>
          <w:sz w:val="22"/>
          <w:szCs w:val="22"/>
        </w:rPr>
        <w:t xml:space="preserve">India regulatory considerations: TRAI's Distributed Ledger Technology (DLT) registration is mandatory for any commercial SMS and, increasingly, is relevant to registered voice/call use cases in India — the client (or its telecom aggregator) must register as a Principal Entity and register each message/call template on the DLT platform before sending commercial communications; Exotel and Knowlarity both provide built-in DLT registration assistance, which is a meaningful practical advantage over configuring this manually against Twilio.</w:t>
      </w:r>
    </w:p>
    <w:p>
      <w:pPr>
        <w:pStyle w:val="Heading1"/>
        <w:spacing w:after="200" w:before="300"/>
      </w:pPr>
      <w:r>
        <w:t xml:space="preserve">20.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Stage</w:t>
            </w:r>
          </w:p>
        </w:tc>
        <w:tc>
          <w:tcPr>
            <w:tcW w:type="dxa" w:w="3120"/>
            <w:shd w:fill="1F3864" w:val="clear"/>
          </w:tcPr>
          <w:p>
            <w:r>
              <w:rPr>
                <w:b/>
                <w:bCs/>
                <w:color w:val="FFFFFF"/>
                <w:sz w:val="20"/>
                <w:szCs w:val="20"/>
              </w:rPr>
              <w:t xml:space="preserve">Recommended platform</w:t>
            </w:r>
          </w:p>
        </w:tc>
        <w:tc>
          <w:tcPr>
            <w:tcW w:type="dxa" w:w="3120"/>
            <w:shd w:fill="1F3864" w:val="clear"/>
          </w:tcPr>
          <w:p>
            <w:r>
              <w:rPr>
                <w:b/>
                <w:bCs/>
                <w:color w:val="FFFFFF"/>
                <w:sz w:val="20"/>
                <w:szCs w:val="20"/>
              </w:rPr>
              <w:t xml:space="preserve">Why</w:t>
            </w:r>
          </w:p>
        </w:tc>
      </w:tr>
      <w:tr>
        <w:tc>
          <w:tcPr>
            <w:tcW w:type="dxa" w:w="3120"/>
            <w:shd w:fill="FFFFFF" w:val="clear"/>
          </w:tcPr>
          <w:p>
            <w:r>
              <w:rPr>
                <w:sz w:val="20"/>
                <w:szCs w:val="20"/>
              </w:rPr>
              <w:t xml:space="preserve">Development</w:t>
            </w:r>
          </w:p>
        </w:tc>
        <w:tc>
          <w:tcPr>
            <w:tcW w:type="dxa" w:w="3120"/>
            <w:shd w:fill="FFFFFF" w:val="clear"/>
          </w:tcPr>
          <w:p>
            <w:r>
              <w:rPr>
                <w:sz w:val="20"/>
                <w:szCs w:val="20"/>
              </w:rPr>
              <w:t xml:space="preserve">Local Docker Compose (Postgres, Redis, backend, frontend)</w:t>
            </w:r>
          </w:p>
        </w:tc>
        <w:tc>
          <w:tcPr>
            <w:tcW w:type="dxa" w:w="3120"/>
            <w:shd w:fill="FFFFFF" w:val="clear"/>
          </w:tcPr>
          <w:p>
            <w:r>
              <w:rPr>
                <w:sz w:val="20"/>
                <w:szCs w:val="20"/>
              </w:rPr>
              <w:t xml:space="preserve">Fast iteration, no cloud cost, mirrors production services.</w:t>
            </w:r>
          </w:p>
        </w:tc>
      </w:tr>
      <w:tr>
        <w:tc>
          <w:tcPr>
            <w:tcW w:type="dxa" w:w="3120"/>
            <w:shd w:fill="F2F2F7" w:val="clear"/>
          </w:tcPr>
          <w:p>
            <w:r>
              <w:rPr>
                <w:sz w:val="20"/>
                <w:szCs w:val="20"/>
              </w:rPr>
              <w:t xml:space="preserve">Staging</w:t>
            </w:r>
          </w:p>
        </w:tc>
        <w:tc>
          <w:tcPr>
            <w:tcW w:type="dxa" w:w="3120"/>
            <w:shd w:fill="F2F2F7" w:val="clear"/>
          </w:tcPr>
          <w:p>
            <w:r>
              <w:rPr>
                <w:sz w:val="20"/>
                <w:szCs w:val="20"/>
              </w:rPr>
              <w:t xml:space="preserve">Same platform as production, smaller instance sizes (e.g., Render/Railway starter tier, or AWS with minimal instance sizes)</w:t>
            </w:r>
          </w:p>
        </w:tc>
        <w:tc>
          <w:tcPr>
            <w:tcW w:type="dxa" w:w="3120"/>
            <w:shd w:fill="F2F2F7" w:val="clear"/>
          </w:tcPr>
          <w:p>
            <w:r>
              <w:rPr>
                <w:sz w:val="20"/>
                <w:szCs w:val="20"/>
              </w:rPr>
              <w:t xml:space="preserve">Must mirror production configuration closely enough that "it worked in staging" is meaningful.</w:t>
            </w:r>
          </w:p>
        </w:tc>
      </w:tr>
      <w:tr>
        <w:tc>
          <w:tcPr>
            <w:tcW w:type="dxa" w:w="3120"/>
            <w:shd w:fill="FFFFFF" w:val="clear"/>
          </w:tcPr>
          <w:p>
            <w:r>
              <w:rPr>
                <w:sz w:val="20"/>
                <w:szCs w:val="20"/>
              </w:rPr>
              <w:t xml:space="preserve">Production (starter)</w:t>
            </w:r>
          </w:p>
        </w:tc>
        <w:tc>
          <w:tcPr>
            <w:tcW w:type="dxa" w:w="3120"/>
            <w:shd w:fill="FFFFFF" w:val="clear"/>
          </w:tcPr>
          <w:p>
            <w:r>
              <w:rPr>
                <w:sz w:val="20"/>
                <w:szCs w:val="20"/>
              </w:rPr>
              <w:t xml:space="preserve">Render or Railway for backend+worker+Postgres+Redis; Vercel for the Next.js frontend</w:t>
            </w:r>
          </w:p>
        </w:tc>
        <w:tc>
          <w:tcPr>
            <w:tcW w:type="dxa" w:w="3120"/>
            <w:shd w:fill="FFFFFF" w:val="clear"/>
          </w:tcPr>
          <w:p>
            <w:r>
              <w:rPr>
                <w:sz w:val="20"/>
                <w:szCs w:val="20"/>
              </w:rPr>
              <w:t xml:space="preserve">Minimal DevOps overhead, fast to ship, still production-grade (managed backups, TLS, autoscaling within limits).</w:t>
            </w:r>
          </w:p>
        </w:tc>
      </w:tr>
      <w:tr>
        <w:tc>
          <w:tcPr>
            <w:tcW w:type="dxa" w:w="3120"/>
            <w:shd w:fill="F2F2F7" w:val="clear"/>
          </w:tcPr>
          <w:p>
            <w:r>
              <w:rPr>
                <w:sz w:val="20"/>
                <w:szCs w:val="20"/>
              </w:rPr>
              <w:t xml:space="preserve">Production (growth/enterprise)</w:t>
            </w:r>
          </w:p>
        </w:tc>
        <w:tc>
          <w:tcPr>
            <w:tcW w:type="dxa" w:w="3120"/>
            <w:shd w:fill="F2F2F7" w:val="clear"/>
          </w:tcPr>
          <w:p>
            <w:r>
              <w:rPr>
                <w:sz w:val="20"/>
                <w:szCs w:val="20"/>
              </w:rPr>
              <w:t xml:space="preserve">AWS: ECS Fargate (backend+workers), RDS Postgres (with read replica), ElastiCache Redis, S3+CloudFront (assets), Application Load Balancer; frontend continues on Vercel or moves to CloudFront+S3</w:t>
            </w:r>
          </w:p>
        </w:tc>
        <w:tc>
          <w:tcPr>
            <w:tcW w:type="dxa" w:w="3120"/>
            <w:shd w:fill="F2F2F7" w:val="clear"/>
          </w:tcPr>
          <w:p>
            <w:r>
              <w:rPr>
                <w:sz w:val="20"/>
                <w:szCs w:val="20"/>
              </w:rPr>
              <w:t xml:space="preserve">Full control over scaling, networking, and compliance posture once volume and reliability requirements justify the added operational complexity.</w:t>
            </w:r>
          </w:p>
        </w:tc>
      </w:tr>
    </w:tbl>
    <w:p>
      <w:pPr>
        <w:spacing w:after="200"/>
      </w:pPr>
      <w:r>
        <w:t xml:space="preserve"/>
      </w:r>
    </w:p>
    <w:p>
      <w:pPr>
        <w:spacing w:after="160" w:line="276"/>
      </w:pPr>
      <w:r>
        <w:rPr>
          <w:sz w:val="22"/>
          <w:szCs w:val="22"/>
        </w:rPr>
        <w:t xml:space="preserve">Vercel/Netlify are excellent specifically for the Next.js frontend at every stage — they are not recommended as a place to run the stateful backend/database/queue, which need a platform with persistent compute and managed data services.</w:t>
      </w:r>
    </w:p>
    <w:p>
      <w:pPr>
        <w:pStyle w:val="Heading1"/>
        <w:spacing w:after="200" w:before="300"/>
      </w:pPr>
      <w:r>
        <w:t xml:space="preserve">21. Server Options</w:t>
      </w:r>
    </w:p>
    <w:p>
      <w:pPr>
        <w:pStyle w:val="Heading2"/>
        <w:spacing w:after="120" w:before="200"/>
      </w:pPr>
      <w:r>
        <w:t xml:space="preserve">Architecture A — Low Cost (Starter)</w:t>
      </w:r>
    </w:p>
    <w:p>
      <w:pPr>
        <w:spacing w:after="160" w:line="276"/>
      </w:pPr>
      <w:r>
        <w:rPr>
          <w:sz w:val="22"/>
          <w:szCs w:val="22"/>
        </w:rPr>
        <w:t xml:space="preserve">Frontend: Vercel (free/hobby or pro tier). Backend: a single Render or Railway web service running the NestJS app plus one background worker service for BullMQ jobs. Database: managed Postgres from the same platform (Render/Railway/Neon/Supabase). Cache/queue: managed Redis from the same platform. This is sufficient for roughly 100–1,000 customers and low-to-moderate shipment volume.</w:t>
      </w:r>
    </w:p>
    <w:p>
      <w:pPr>
        <w:pStyle w:val="Heading2"/>
        <w:spacing w:after="120" w:before="200"/>
      </w:pPr>
      <w:r>
        <w:t xml:space="preserve">Architecture B — Recommended (Growth)</w:t>
      </w:r>
    </w:p>
    <w:p>
      <w:pPr>
        <w:spacing w:after="160" w:line="276"/>
      </w:pPr>
      <w:r>
        <w:rPr>
          <w:sz w:val="22"/>
          <w:szCs w:val="22"/>
        </w:rPr>
        <w:t xml:space="preserve">Frontend hosting: Vercel Pro. Backend server: containerized NestJS app on Render/Railway's higher tiers, or an early move to AWS ECS Fargate with 2+ tasks behind a load balancer for redundancy. Managed PostgreSQL: DigitalOcean Managed Database or AWS RDS with automated backups and a read replica once admin/reporting load justifies it. Redis: managed Redis (ElastiCache or the hosting platform's managed offering) for cache + queue. Object storage: S3 or DigitalOcean Spaces for documents/images. Monitoring: Sentry (errors) + Better Stack or Grafana Cloud (uptime/logs) — see Section 23.</w:t>
      </w:r>
    </w:p>
    <w:p>
      <w:pPr>
        <w:pStyle w:val="Heading2"/>
        <w:spacing w:after="120" w:before="200"/>
      </w:pPr>
      <w:r>
        <w:t xml:space="preserve">Architecture C — Enterprise</w:t>
      </w:r>
    </w:p>
    <w:p>
      <w:pPr>
        <w:shd w:fill="F2F2F2" w:val="clear"/>
        <w:spacing w:after="0"/>
      </w:pPr>
      <w:r>
        <w:rPr>
          <w:rFonts w:ascii="Consolas" w:cs="Consolas" w:eastAsia="Consolas" w:hAnsi="Consolas"/>
          <w:sz w:val="18"/>
          <w:szCs w:val="18"/>
        </w:rPr>
        <w:t xml:space="preserve">CDN (CloudFront)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Load Balancer (ALB)</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Application Servers (ECS Fargate, auto-scaled, multi-AZ)</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Queue (SQS or managed Redis/BullMQ)</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Worker Servers (ECS Fargate workers, auto-scaled)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Database (RDS Postgres, multi-AZ, read replicas)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Cache (ElastiCache Redis, multi-AZ)</w:t>
      </w:r>
    </w:p>
    <w:p>
      <w:pPr>
        <w:shd w:fill="F2F2F2" w:val="clear"/>
        <w:spacing w:after="0"/>
      </w:pPr>
      <w:r>
        <w:rPr>
          <w:rFonts w:ascii="Consolas" w:cs="Consolas" w:eastAsia="Consolas" w:hAnsi="Consolas"/>
          <w:sz w:val="18"/>
          <w:szCs w:val="18"/>
        </w:rPr>
        <w:t xml:space="preserve">     |</w:t>
      </w:r>
    </w:p>
    <w:p>
      <w:pPr>
        <w:shd w:fill="F2F2F2" w:val="clear"/>
        <w:spacing w:after="200"/>
      </w:pPr>
      <w:r>
        <w:rPr>
          <w:rFonts w:ascii="Consolas" w:cs="Consolas" w:eastAsia="Consolas" w:hAnsi="Consolas"/>
          <w:sz w:val="18"/>
          <w:szCs w:val="18"/>
        </w:rPr>
        <w:t xml:space="preserve">External APIs (ICL, DHL, FedEx, WhatsApp, Voice — via Provider Adapter layer)</w:t>
      </w:r>
    </w:p>
    <w:p>
      <w:pPr>
        <w:spacing w:after="160" w:line="276"/>
      </w:pPr>
      <w:r>
        <w:rPr>
          <w:sz w:val="22"/>
          <w:szCs w:val="22"/>
        </w:rPr>
        <w:t xml:space="preserve">When to move between architectures: move from A to B when the single-instance backend or database starts showing sustained CPU/memory pressure, when the team needs staging/production parity for compliance reasons, or when uptime requirements exceed what a single-region managed platform comfortably guarantees — typically somewhere in the low thousands of active customers. Move from B to C only when genuine multi-region, high-availability, or very high-throughput requirements appear (typically tens of thousands of customers and beyond, or contractual SLA commitments that require it) — moving to C earlier than necessary is the classic overengineering trap this document is designed to avoid.</w:t>
      </w:r>
    </w:p>
    <w:p>
      <w:pPr>
        <w:pStyle w:val="Heading1"/>
        <w:spacing w:after="200" w:before="300"/>
      </w:pPr>
      <w:r>
        <w:t xml:space="preserve">22. CI/CD Strategy</w:t>
      </w:r>
    </w:p>
    <w:p>
      <w:pPr>
        <w:shd w:fill="F2F2F2" w:val="clear"/>
        <w:spacing w:after="0"/>
      </w:pPr>
      <w:r>
        <w:rPr>
          <w:rFonts w:ascii="Consolas" w:cs="Consolas" w:eastAsia="Consolas" w:hAnsi="Consolas"/>
          <w:sz w:val="18"/>
          <w:szCs w:val="18"/>
        </w:rPr>
        <w:t xml:space="preserve">Developer pushes branch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GitHub</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Pull Request opened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GitHub Actions: install deps -&gt; lint -&gt; unit tests -&gt; integration tests (mocked ICL adapter) -&gt; build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Security scan (npm audit / Snyk / Dependabot alerts)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Merge to main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GitHub Actions: build Docker image -&gt; push to registry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Automated deploy to Staging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Automated Prisma migration run against staging DB</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Manual smoke test / approval gate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Promote same image to Production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Automated Prisma migration run against production DB</w:t>
      </w:r>
    </w:p>
    <w:p>
      <w:pPr>
        <w:shd w:fill="F2F2F2" w:val="clear"/>
        <w:spacing w:after="0"/>
      </w:pPr>
      <w:r>
        <w:rPr>
          <w:rFonts w:ascii="Consolas" w:cs="Consolas" w:eastAsia="Consolas" w:hAnsi="Consolas"/>
          <w:sz w:val="18"/>
          <w:szCs w:val="18"/>
        </w:rPr>
        <w:t xml:space="preserve">     |</w:t>
      </w:r>
    </w:p>
    <w:p>
      <w:pPr>
        <w:shd w:fill="F2F2F2" w:val="clear"/>
        <w:spacing w:after="200"/>
      </w:pPr>
      <w:r>
        <w:rPr>
          <w:rFonts w:ascii="Consolas" w:cs="Consolas" w:eastAsia="Consolas" w:hAnsi="Consolas"/>
          <w:sz w:val="18"/>
          <w:szCs w:val="18"/>
        </w:rPr>
        <w:t xml:space="preserve">Post-deploy health check + rollback trigger if failing</w:t>
      </w:r>
    </w:p>
    <w:p>
      <w:pPr>
        <w:spacing w:after="160" w:line="276"/>
      </w:pPr>
      <w:r>
        <w:rPr>
          <w:sz w:val="22"/>
          <w:szCs w:val="22"/>
        </w:rPr>
        <w:t xml:space="preserve">Recommended tools: GitHub Actions for CI/CD orchestration, Docker for consistent build artifacts across environments, Prisma Migrate run as an explicit pipeline step (never applied ad hoc by a developer against production), environment-specific configuration via platform-native secret stores (Render/Railway/AWS Parameter Store), and a simple rollback strategy of re-deploying the previous known-good Docker image tag if the post-deploy health check fails.</w:t>
      </w:r>
    </w:p>
    <w:p>
      <w:pPr>
        <w:pStyle w:val="Heading1"/>
        <w:spacing w:after="200" w:before="300"/>
      </w:pPr>
      <w:r>
        <w:t xml:space="preserve">23. Monitoring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Concern</w:t>
            </w:r>
          </w:p>
        </w:tc>
        <w:tc>
          <w:tcPr>
            <w:tcW w:type="dxa" w:w="3120"/>
            <w:shd w:fill="1F3864" w:val="clear"/>
          </w:tcPr>
          <w:p>
            <w:r>
              <w:rPr>
                <w:b/>
                <w:bCs/>
                <w:color w:val="FFFFFF"/>
                <w:sz w:val="20"/>
                <w:szCs w:val="20"/>
              </w:rPr>
              <w:t xml:space="preserve">Recommended tool</w:t>
            </w:r>
          </w:p>
        </w:tc>
        <w:tc>
          <w:tcPr>
            <w:tcW w:type="dxa" w:w="3120"/>
            <w:shd w:fill="1F3864" w:val="clear"/>
          </w:tcPr>
          <w:p>
            <w:r>
              <w:rPr>
                <w:b/>
                <w:bCs/>
                <w:color w:val="FFFFFF"/>
                <w:sz w:val="20"/>
                <w:szCs w:val="20"/>
              </w:rPr>
              <w:t xml:space="preserve">Notes</w:t>
            </w:r>
          </w:p>
        </w:tc>
      </w:tr>
      <w:tr>
        <w:tc>
          <w:tcPr>
            <w:tcW w:type="dxa" w:w="3120"/>
            <w:shd w:fill="FFFFFF" w:val="clear"/>
          </w:tcPr>
          <w:p>
            <w:r>
              <w:rPr>
                <w:sz w:val="20"/>
                <w:szCs w:val="20"/>
              </w:rPr>
              <w:t xml:space="preserve">Error tracking</w:t>
            </w:r>
          </w:p>
        </w:tc>
        <w:tc>
          <w:tcPr>
            <w:tcW w:type="dxa" w:w="3120"/>
            <w:shd w:fill="FFFFFF" w:val="clear"/>
          </w:tcPr>
          <w:p>
            <w:r>
              <w:rPr>
                <w:sz w:val="20"/>
                <w:szCs w:val="20"/>
              </w:rPr>
              <w:t xml:space="preserve">Sentry</w:t>
            </w:r>
          </w:p>
        </w:tc>
        <w:tc>
          <w:tcPr>
            <w:tcW w:type="dxa" w:w="3120"/>
            <w:shd w:fill="FFFFFF" w:val="clear"/>
          </w:tcPr>
          <w:p>
            <w:r>
              <w:rPr>
                <w:sz w:val="20"/>
                <w:szCs w:val="20"/>
              </w:rPr>
              <w:t xml:space="preserve">Captures backend and frontend exceptions with stack traces and release tagging; generous free/low-cost tier suitable for the starter stage.</w:t>
            </w:r>
          </w:p>
        </w:tc>
      </w:tr>
      <w:tr>
        <w:tc>
          <w:tcPr>
            <w:tcW w:type="dxa" w:w="3120"/>
            <w:shd w:fill="F2F2F7" w:val="clear"/>
          </w:tcPr>
          <w:p>
            <w:r>
              <w:rPr>
                <w:sz w:val="20"/>
                <w:szCs w:val="20"/>
              </w:rPr>
              <w:t xml:space="preserve">Uptime monitoring</w:t>
            </w:r>
          </w:p>
        </w:tc>
        <w:tc>
          <w:tcPr>
            <w:tcW w:type="dxa" w:w="3120"/>
            <w:shd w:fill="F2F2F7" w:val="clear"/>
          </w:tcPr>
          <w:p>
            <w:r>
              <w:rPr>
                <w:sz w:val="20"/>
                <w:szCs w:val="20"/>
              </w:rPr>
              <w:t xml:space="preserve">Better Stack (formerly Better Uptime) or UptimeRobot</w:t>
            </w:r>
          </w:p>
        </w:tc>
        <w:tc>
          <w:tcPr>
            <w:tcW w:type="dxa" w:w="3120"/>
            <w:shd w:fill="F2F2F7" w:val="clear"/>
          </w:tcPr>
          <w:p>
            <w:r>
              <w:rPr>
                <w:sz w:val="20"/>
                <w:szCs w:val="20"/>
              </w:rPr>
              <w:t xml:space="preserve">Simple HTTP checks on the tracking API and frontend, with alerting to WhatsApp/email/SMS on downtime.</w:t>
            </w:r>
          </w:p>
        </w:tc>
      </w:tr>
      <w:tr>
        <w:tc>
          <w:tcPr>
            <w:tcW w:type="dxa" w:w="3120"/>
            <w:shd w:fill="FFFFFF" w:val="clear"/>
          </w:tcPr>
          <w:p>
            <w:r>
              <w:rPr>
                <w:sz w:val="20"/>
                <w:szCs w:val="20"/>
              </w:rPr>
              <w:t xml:space="preserve">Application/infra metrics</w:t>
            </w:r>
          </w:p>
        </w:tc>
        <w:tc>
          <w:tcPr>
            <w:tcW w:type="dxa" w:w="3120"/>
            <w:shd w:fill="FFFFFF" w:val="clear"/>
          </w:tcPr>
          <w:p>
            <w:r>
              <w:rPr>
                <w:sz w:val="20"/>
                <w:szCs w:val="20"/>
              </w:rPr>
              <w:t xml:space="preserve">Grafana Cloud (with Prometheus-compatible metrics) or the hosting platform's built-in dashboards initially</w:t>
            </w:r>
          </w:p>
        </w:tc>
        <w:tc>
          <w:tcPr>
            <w:tcW w:type="dxa" w:w="3120"/>
            <w:shd w:fill="FFFFFF" w:val="clear"/>
          </w:tcPr>
          <w:p>
            <w:r>
              <w:rPr>
                <w:sz w:val="20"/>
                <w:szCs w:val="20"/>
              </w:rPr>
              <w:t xml:space="preserve">Track request latency, ICL call latency/error rate, queue depth — the ICL call latency/error-rate metric specifically doubles as the "integration health" signal for the admin dashboard.</w:t>
            </w:r>
          </w:p>
        </w:tc>
      </w:tr>
      <w:tr>
        <w:tc>
          <w:tcPr>
            <w:tcW w:type="dxa" w:w="3120"/>
            <w:shd w:fill="F2F2F7" w:val="clear"/>
          </w:tcPr>
          <w:p>
            <w:r>
              <w:rPr>
                <w:sz w:val="20"/>
                <w:szCs w:val="20"/>
              </w:rPr>
              <w:t xml:space="preserve">Log management</w:t>
            </w:r>
          </w:p>
        </w:tc>
        <w:tc>
          <w:tcPr>
            <w:tcW w:type="dxa" w:w="3120"/>
            <w:shd w:fill="F2F2F7" w:val="clear"/>
          </w:tcPr>
          <w:p>
            <w:r>
              <w:rPr>
                <w:sz w:val="20"/>
                <w:szCs w:val="20"/>
              </w:rPr>
              <w:t xml:space="preserve">Better Stack Logs or the hosting platform's built-in log aggregation initially; CloudWatch Logs if/when on AWS</w:t>
            </w:r>
          </w:p>
        </w:tc>
        <w:tc>
          <w:tcPr>
            <w:tcW w:type="dxa" w:w="3120"/>
            <w:shd w:fill="F2F2F7" w:val="clear"/>
          </w:tcPr>
          <w:p>
            <w:r>
              <w:rPr>
                <w:sz w:val="20"/>
                <w:szCs w:val="20"/>
              </w:rPr>
              <w:t xml:space="preserve">Structured JSON logs with correlation/request IDs so a single customer's tracking lookup can be traced end-to-end, including the exact ICL request/response.</w:t>
            </w:r>
          </w:p>
        </w:tc>
      </w:tr>
      <w:tr>
        <w:tc>
          <w:tcPr>
            <w:tcW w:type="dxa" w:w="3120"/>
            <w:shd w:fill="FFFFFF" w:val="clear"/>
          </w:tcPr>
          <w:p>
            <w:r>
              <w:rPr>
                <w:sz w:val="20"/>
                <w:szCs w:val="20"/>
              </w:rPr>
              <w:t xml:space="preserve">Database monitoring</w:t>
            </w:r>
          </w:p>
        </w:tc>
        <w:tc>
          <w:tcPr>
            <w:tcW w:type="dxa" w:w="3120"/>
            <w:shd w:fill="FFFFFF" w:val="clear"/>
          </w:tcPr>
          <w:p>
            <w:r>
              <w:rPr>
                <w:sz w:val="20"/>
                <w:szCs w:val="20"/>
              </w:rPr>
              <w:t xml:space="preserve">Managed provider's built-in dashboards (RDS Performance Insights, DigitalOcean's DB metrics)</w:t>
            </w:r>
          </w:p>
        </w:tc>
        <w:tc>
          <w:tcPr>
            <w:tcW w:type="dxa" w:w="3120"/>
            <w:shd w:fill="FFFFFF" w:val="clear"/>
          </w:tcPr>
          <w:p>
            <w:r>
              <w:rPr>
                <w:sz w:val="20"/>
                <w:szCs w:val="20"/>
              </w:rPr>
              <w:t xml:space="preserve">Watch connection counts and slow queries as usage grows.</w:t>
            </w:r>
          </w:p>
        </w:tc>
      </w:tr>
    </w:tbl>
    <w:p>
      <w:pPr>
        <w:spacing w:after="200"/>
      </w:pPr>
      <w:r>
        <w:t xml:space="preserve"/>
      </w:r>
    </w:p>
    <w:p>
      <w:pPr>
        <w:spacing w:after="160" w:line="276"/>
      </w:pPr>
      <w:r>
        <w:rPr>
          <w:sz w:val="22"/>
          <w:szCs w:val="22"/>
        </w:rPr>
        <w:t xml:space="preserve">At the client's current size, Datadog and full OpenTelemetry/Prometheus/Grafana self-hosted stacks are more operational overhead than the benefit justifies; Sentry + Better Stack + the hosting platform's built-in metrics is a lean, effective starting stack that can be upgraded to a full OpenTelemetry pipeline later without re-architecting the application (structuring logs and adding request IDs now makes that future migration easy).</w:t>
      </w:r>
    </w:p>
    <w:p>
      <w:pPr>
        <w:pStyle w:val="Heading1"/>
        <w:spacing w:after="200" w:before="300"/>
      </w:pPr>
      <w:r>
        <w:t xml:space="preserve">24. Backup and Disaster Recovery</w:t>
      </w:r>
    </w:p>
    <w:p>
      <w:pPr>
        <w:spacing w:after="160" w:line="276"/>
      </w:pPr>
      <w:r>
        <w:rPr>
          <w:sz w:val="22"/>
          <w:szCs w:val="22"/>
        </w:rPr>
        <w:t xml:space="preserve">Database backups: automated daily full snapshots plus continuous point-in-time recovery (PITR) via WAL archiving, retained for at least 30 days in the recommended stage and 90 days once the platform is handling meaningful order volume. Snapshots should be additionally copied to a separate off-site/cross-region storage bucket weekly for true disaster-recovery independence from the primary hosting provider.</w:t>
      </w:r>
    </w:p>
    <w:p>
      <w:pPr>
        <w:spacing w:after="160" w:line="276"/>
      </w:pPr>
      <w:r>
        <w:rPr>
          <w:sz w:val="22"/>
          <w:szCs w:val="22"/>
        </w:rPr>
        <w:t xml:space="preserve">Recovery targets: a Recovery Point Objective (RPO) of at most 5 minutes (achieved via PITR/WAL streaming) and a Recovery Time Objective (RTO) of at most 2–4 hours for the starter/recommended stages, tightening to under 1 hour once the business is dependent on continuous uptime. These targets should be periodically tested with an actual restore drill (restore the latest backup into a scratch environment and verify data integrity) rather than assumed to work from configuration alone.</w:t>
      </w:r>
    </w:p>
    <w:p>
      <w:pPr>
        <w:spacing w:after="160" w:line="276"/>
      </w:pPr>
      <w:r>
        <w:rPr>
          <w:sz w:val="22"/>
          <w:szCs w:val="22"/>
        </w:rPr>
        <w:t xml:space="preserve">Application/infrastructure recovery: since the deployment pipeline (Section 22) rebuilds the entire application from source and Infrastructure-as-Code definitions, the application layer itself is inherently reproducible — disaster recovery planning should focus almost entirely on the database and any object storage (documents/images), which are the only genuinely stateful components.</w:t>
      </w:r>
    </w:p>
    <w:p>
      <w:pPr>
        <w:pStyle w:val="Heading1"/>
        <w:spacing w:after="200" w:before="300"/>
      </w:pPr>
      <w:r>
        <w:t xml:space="preserve">25. Scalability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sz w:val="20"/>
                <w:szCs w:val="20"/>
              </w:rPr>
              <w:t xml:space="preserve">Stage</w:t>
            </w:r>
          </w:p>
        </w:tc>
        <w:tc>
          <w:tcPr>
            <w:tcW w:type="dxa" w:w="3120"/>
            <w:shd w:fill="1F3864" w:val="clear"/>
          </w:tcPr>
          <w:p>
            <w:r>
              <w:rPr>
                <w:b/>
                <w:bCs/>
                <w:color w:val="FFFFFF"/>
                <w:sz w:val="20"/>
                <w:szCs w:val="20"/>
              </w:rPr>
              <w:t xml:space="preserve">Customers</w:t>
            </w:r>
          </w:p>
        </w:tc>
        <w:tc>
          <w:tcPr>
            <w:tcW w:type="dxa" w:w="3120"/>
            <w:shd w:fill="1F3864" w:val="clear"/>
          </w:tcPr>
          <w:p>
            <w:r>
              <w:rPr>
                <w:b/>
                <w:bCs/>
                <w:color w:val="FFFFFF"/>
                <w:sz w:val="20"/>
                <w:szCs w:val="20"/>
              </w:rPr>
              <w:t xml:space="preserve">Architecture posture</w:t>
            </w:r>
          </w:p>
        </w:tc>
      </w:tr>
      <w:tr>
        <w:tc>
          <w:tcPr>
            <w:tcW w:type="dxa" w:w="3120"/>
            <w:shd w:fill="FFFFFF" w:val="clear"/>
          </w:tcPr>
          <w:p>
            <w:r>
              <w:rPr>
                <w:sz w:val="20"/>
                <w:szCs w:val="20"/>
              </w:rPr>
              <w:t xml:space="preserve">Starter</w:t>
            </w:r>
          </w:p>
        </w:tc>
        <w:tc>
          <w:tcPr>
            <w:tcW w:type="dxa" w:w="3120"/>
            <w:shd w:fill="FFFFFF" w:val="clear"/>
          </w:tcPr>
          <w:p>
            <w:r>
              <w:rPr>
                <w:sz w:val="20"/>
                <w:szCs w:val="20"/>
              </w:rPr>
              <w:t xml:space="preserve">~100</w:t>
            </w:r>
          </w:p>
        </w:tc>
        <w:tc>
          <w:tcPr>
            <w:tcW w:type="dxa" w:w="3120"/>
            <w:shd w:fill="FFFFFF" w:val="clear"/>
          </w:tcPr>
          <w:p>
            <w:r>
              <w:rPr>
                <w:sz w:val="20"/>
                <w:szCs w:val="20"/>
              </w:rPr>
              <w:t xml:space="preserve">Architecture A (Section 21): single backend instance, single Postgres, single Redis, synchronous ICL calls with caching. No queue needed yet beyond basic notification jobs.</w:t>
            </w:r>
          </w:p>
        </w:tc>
      </w:tr>
      <w:tr>
        <w:tc>
          <w:tcPr>
            <w:tcW w:type="dxa" w:w="3120"/>
            <w:shd w:fill="F2F2F7" w:val="clear"/>
          </w:tcPr>
          <w:p>
            <w:r>
              <w:rPr>
                <w:sz w:val="20"/>
                <w:szCs w:val="20"/>
              </w:rPr>
              <w:t xml:space="preserve">Growth</w:t>
            </w:r>
          </w:p>
        </w:tc>
        <w:tc>
          <w:tcPr>
            <w:tcW w:type="dxa" w:w="3120"/>
            <w:shd w:fill="F2F2F7" w:val="clear"/>
          </w:tcPr>
          <w:p>
            <w:r>
              <w:rPr>
                <w:sz w:val="20"/>
                <w:szCs w:val="20"/>
              </w:rPr>
              <w:t xml:space="preserve">~1,000</w:t>
            </w:r>
          </w:p>
        </w:tc>
        <w:tc>
          <w:tcPr>
            <w:tcW w:type="dxa" w:w="3120"/>
            <w:shd w:fill="F2F2F7" w:val="clear"/>
          </w:tcPr>
          <w:p>
            <w:r>
              <w:rPr>
                <w:sz w:val="20"/>
                <w:szCs w:val="20"/>
              </w:rPr>
              <w:t xml:space="preserve">Architecture B: horizontally scale backend to 2+ instances behind a load balancer, introduce a proper background worker fleet for notifications and bulk tracking refresh, add a Postgres read replica for admin/reporting queries.</w:t>
            </w:r>
          </w:p>
        </w:tc>
      </w:tr>
      <w:tr>
        <w:tc>
          <w:tcPr>
            <w:tcW w:type="dxa" w:w="3120"/>
            <w:shd w:fill="FFFFFF" w:val="clear"/>
          </w:tcPr>
          <w:p>
            <w:r>
              <w:rPr>
                <w:sz w:val="20"/>
                <w:szCs w:val="20"/>
              </w:rPr>
              <w:t xml:space="preserve">Scale</w:t>
            </w:r>
          </w:p>
        </w:tc>
        <w:tc>
          <w:tcPr>
            <w:tcW w:type="dxa" w:w="3120"/>
            <w:shd w:fill="FFFFFF" w:val="clear"/>
          </w:tcPr>
          <w:p>
            <w:r>
              <w:rPr>
                <w:sz w:val="20"/>
                <w:szCs w:val="20"/>
              </w:rPr>
              <w:t xml:space="preserve">~10,000</w:t>
            </w:r>
          </w:p>
        </w:tc>
        <w:tc>
          <w:tcPr>
            <w:tcW w:type="dxa" w:w="3120"/>
            <w:shd w:fill="FFFFFF" w:val="clear"/>
          </w:tcPr>
          <w:p>
            <w:r>
              <w:rPr>
                <w:sz w:val="20"/>
                <w:szCs w:val="20"/>
              </w:rPr>
              <w:t xml:space="preserve">Continue Architecture B but with autoscaling policies, add caching at the CDN edge for static/public tracking pages where possible, monitor and tune database indexes/connection pooling (PgBouncer), consider splitting the notification/worker fleet from the API fleet for independent scaling.</w:t>
            </w:r>
          </w:p>
        </w:tc>
      </w:tr>
      <w:tr>
        <w:tc>
          <w:tcPr>
            <w:tcW w:type="dxa" w:w="3120"/>
            <w:shd w:fill="F2F2F7" w:val="clear"/>
          </w:tcPr>
          <w:p>
            <w:r>
              <w:rPr>
                <w:sz w:val="20"/>
                <w:szCs w:val="20"/>
              </w:rPr>
              <w:t xml:space="preserve">Enterprise</w:t>
            </w:r>
          </w:p>
        </w:tc>
        <w:tc>
          <w:tcPr>
            <w:tcW w:type="dxa" w:w="3120"/>
            <w:shd w:fill="F2F2F7" w:val="clear"/>
          </w:tcPr>
          <w:p>
            <w:r>
              <w:rPr>
                <w:sz w:val="20"/>
                <w:szCs w:val="20"/>
              </w:rPr>
              <w:t xml:space="preserve">100,000+</w:t>
            </w:r>
          </w:p>
        </w:tc>
        <w:tc>
          <w:tcPr>
            <w:tcW w:type="dxa" w:w="3120"/>
            <w:shd w:fill="F2F2F7" w:val="clear"/>
          </w:tcPr>
          <w:p>
            <w:r>
              <w:rPr>
                <w:sz w:val="20"/>
                <w:szCs w:val="20"/>
              </w:rPr>
              <w:t xml:space="preserve">Architecture C: multi-AZ/region deployment, dedicated queue infrastructure (SQS), database partitioning/archiving strategy for the TrackingEvent table, and — only at this point, if genuinely needed — consider extracting the highest-load modules (e.g., Tracking, Notifications) out of the modular monolith into standalone services.</w:t>
            </w:r>
          </w:p>
        </w:tc>
      </w:tr>
    </w:tbl>
    <w:p>
      <w:pPr>
        <w:spacing w:after="200"/>
      </w:pPr>
      <w:r>
        <w:t xml:space="preserve"/>
      </w:r>
    </w:p>
    <w:p>
      <w:pPr>
        <w:spacing w:after="160" w:line="276"/>
      </w:pPr>
      <w:r>
        <w:rPr>
          <w:sz w:val="22"/>
          <w:szCs w:val="22"/>
        </w:rPr>
        <w:t xml:space="preserve">The architecture in Sections 5–14 is deliberately chosen so that this entire growth curve requires configuration and infrastructure changes, not application rewrites — the Provider Adapter pattern, modular monolith boundaries, and queue-ready notification design are all decisions made once, early, that pay off at every subsequent stage.</w:t>
      </w:r>
    </w:p>
    <w:p>
      <w:pPr>
        <w:pStyle w:val="Heading1"/>
        <w:spacing w:after="200" w:before="300"/>
      </w:pPr>
      <w:r>
        <w:t xml:space="preserve">26. Cost Comparison</w:t>
      </w:r>
    </w:p>
    <w:p>
      <w:pPr>
        <w:spacing w:after="160" w:line="276"/>
      </w:pPr>
      <w:r>
        <w:rPr>
          <w:sz w:val="22"/>
          <w:szCs w:val="22"/>
        </w:rPr>
        <w:t xml:space="preserve">The following are directional monthly estimates based on current public list pricing for the recommended providers; all figures should be re-verified at contracting time since cloud and API pricing changes and the figures below are Claude's estimates, not confirmed quotes. All amounts are in USD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Pr>
          <w:p>
            <w:r>
              <w:rPr>
                <w:b/>
                <w:bCs/>
                <w:color w:val="FFFFFF"/>
                <w:sz w:val="20"/>
                <w:szCs w:val="20"/>
              </w:rPr>
              <w:t xml:space="preserve">Component</w:t>
            </w:r>
          </w:p>
        </w:tc>
        <w:tc>
          <w:tcPr>
            <w:tcW w:type="dxa" w:w="1872"/>
            <w:shd w:fill="1F3864" w:val="clear"/>
          </w:tcPr>
          <w:p>
            <w:r>
              <w:rPr>
                <w:b/>
                <w:bCs/>
                <w:color w:val="FFFFFF"/>
                <w:sz w:val="20"/>
                <w:szCs w:val="20"/>
              </w:rPr>
              <w:t xml:space="preserve">Starter</w:t>
            </w:r>
          </w:p>
        </w:tc>
        <w:tc>
          <w:tcPr>
            <w:tcW w:type="dxa" w:w="1872"/>
            <w:shd w:fill="1F3864" w:val="clear"/>
          </w:tcPr>
          <w:p>
            <w:r>
              <w:rPr>
                <w:b/>
                <w:bCs/>
                <w:color w:val="FFFFFF"/>
                <w:sz w:val="20"/>
                <w:szCs w:val="20"/>
              </w:rPr>
              <w:t xml:space="preserve">Recommended</w:t>
            </w:r>
          </w:p>
        </w:tc>
        <w:tc>
          <w:tcPr>
            <w:tcW w:type="dxa" w:w="1872"/>
            <w:shd w:fill="1F3864" w:val="clear"/>
          </w:tcPr>
          <w:p>
            <w:r>
              <w:rPr>
                <w:b/>
                <w:bCs/>
                <w:color w:val="FFFFFF"/>
                <w:sz w:val="20"/>
                <w:szCs w:val="20"/>
              </w:rPr>
              <w:t xml:space="preserve">Growth</w:t>
            </w:r>
          </w:p>
        </w:tc>
        <w:tc>
          <w:tcPr>
            <w:tcW w:type="dxa" w:w="1872"/>
            <w:shd w:fill="1F3864" w:val="clear"/>
          </w:tcPr>
          <w:p>
            <w:r>
              <w:rPr>
                <w:b/>
                <w:bCs/>
                <w:color w:val="FFFFFF"/>
                <w:sz w:val="20"/>
                <w:szCs w:val="20"/>
              </w:rPr>
              <w:t xml:space="preserve">Enterprise</w:t>
            </w:r>
          </w:p>
        </w:tc>
      </w:tr>
      <w:tr>
        <w:tc>
          <w:tcPr>
            <w:tcW w:type="dxa" w:w="1872"/>
            <w:shd w:fill="FFFFFF" w:val="clear"/>
          </w:tcPr>
          <w:p>
            <w:r>
              <w:rPr>
                <w:sz w:val="20"/>
                <w:szCs w:val="20"/>
              </w:rPr>
              <w:t xml:space="preserve">Frontend hosting</w:t>
            </w:r>
          </w:p>
        </w:tc>
        <w:tc>
          <w:tcPr>
            <w:tcW w:type="dxa" w:w="1872"/>
            <w:shd w:fill="FFFFFF" w:val="clear"/>
          </w:tcPr>
          <w:p>
            <w:r>
              <w:rPr>
                <w:sz w:val="20"/>
                <w:szCs w:val="20"/>
              </w:rPr>
              <w:t xml:space="preserve">Vercel Hobby — $0</w:t>
            </w:r>
          </w:p>
        </w:tc>
        <w:tc>
          <w:tcPr>
            <w:tcW w:type="dxa" w:w="1872"/>
            <w:shd w:fill="FFFFFF" w:val="clear"/>
          </w:tcPr>
          <w:p>
            <w:r>
              <w:rPr>
                <w:sz w:val="20"/>
                <w:szCs w:val="20"/>
              </w:rPr>
              <w:t xml:space="preserve">Vercel Pro — ~$20</w:t>
            </w:r>
          </w:p>
        </w:tc>
        <w:tc>
          <w:tcPr>
            <w:tcW w:type="dxa" w:w="1872"/>
            <w:shd w:fill="FFFFFF" w:val="clear"/>
          </w:tcPr>
          <w:p>
            <w:r>
              <w:rPr>
                <w:sz w:val="20"/>
                <w:szCs w:val="20"/>
              </w:rPr>
              <w:t xml:space="preserve">Vercel Pro (team) — ~$20–100</w:t>
            </w:r>
          </w:p>
        </w:tc>
        <w:tc>
          <w:tcPr>
            <w:tcW w:type="dxa" w:w="1872"/>
            <w:shd w:fill="FFFFFF" w:val="clear"/>
          </w:tcPr>
          <w:p>
            <w:r>
              <w:rPr>
                <w:sz w:val="20"/>
                <w:szCs w:val="20"/>
              </w:rPr>
              <w:t xml:space="preserve">CloudFront+S3 — ~$50–200</w:t>
            </w:r>
          </w:p>
        </w:tc>
      </w:tr>
      <w:tr>
        <w:tc>
          <w:tcPr>
            <w:tcW w:type="dxa" w:w="1872"/>
            <w:shd w:fill="F2F2F7" w:val="clear"/>
          </w:tcPr>
          <w:p>
            <w:r>
              <w:rPr>
                <w:sz w:val="20"/>
                <w:szCs w:val="20"/>
              </w:rPr>
              <w:t xml:space="preserve">Backend compute</w:t>
            </w:r>
          </w:p>
        </w:tc>
        <w:tc>
          <w:tcPr>
            <w:tcW w:type="dxa" w:w="1872"/>
            <w:shd w:fill="F2F2F7" w:val="clear"/>
          </w:tcPr>
          <w:p>
            <w:r>
              <w:rPr>
                <w:sz w:val="20"/>
                <w:szCs w:val="20"/>
              </w:rPr>
              <w:t xml:space="preserve">Render/Railway small instance — ~$7–25</w:t>
            </w:r>
          </w:p>
        </w:tc>
        <w:tc>
          <w:tcPr>
            <w:tcW w:type="dxa" w:w="1872"/>
            <w:shd w:fill="F2F2F7" w:val="clear"/>
          </w:tcPr>
          <w:p>
            <w:r>
              <w:rPr>
                <w:sz w:val="20"/>
                <w:szCs w:val="20"/>
              </w:rPr>
              <w:t xml:space="preserve">Render/Railway standard — ~$25–85</w:t>
            </w:r>
          </w:p>
        </w:tc>
        <w:tc>
          <w:tcPr>
            <w:tcW w:type="dxa" w:w="1872"/>
            <w:shd w:fill="F2F2F7" w:val="clear"/>
          </w:tcPr>
          <w:p>
            <w:r>
              <w:rPr>
                <w:sz w:val="20"/>
                <w:szCs w:val="20"/>
              </w:rPr>
              <w:t xml:space="preserve">AWS ECS Fargate (2+ tasks) — ~$100–300</w:t>
            </w:r>
          </w:p>
        </w:tc>
        <w:tc>
          <w:tcPr>
            <w:tcW w:type="dxa" w:w="1872"/>
            <w:shd w:fill="F2F2F7" w:val="clear"/>
          </w:tcPr>
          <w:p>
            <w:r>
              <w:rPr>
                <w:sz w:val="20"/>
                <w:szCs w:val="20"/>
              </w:rPr>
              <w:t xml:space="preserve">AWS ECS Fargate (autoscaled, multi-AZ) — ~$500–2,000+</w:t>
            </w:r>
          </w:p>
        </w:tc>
      </w:tr>
      <w:tr>
        <w:tc>
          <w:tcPr>
            <w:tcW w:type="dxa" w:w="1872"/>
            <w:shd w:fill="FFFFFF" w:val="clear"/>
          </w:tcPr>
          <w:p>
            <w:r>
              <w:rPr>
                <w:sz w:val="20"/>
                <w:szCs w:val="20"/>
              </w:rPr>
              <w:t xml:space="preserve">Database (Postgres)</w:t>
            </w:r>
          </w:p>
        </w:tc>
        <w:tc>
          <w:tcPr>
            <w:tcW w:type="dxa" w:w="1872"/>
            <w:shd w:fill="FFFFFF" w:val="clear"/>
          </w:tcPr>
          <w:p>
            <w:r>
              <w:rPr>
                <w:sz w:val="20"/>
                <w:szCs w:val="20"/>
              </w:rPr>
              <w:t xml:space="preserve">Managed starter tier — ~$15</w:t>
            </w:r>
          </w:p>
        </w:tc>
        <w:tc>
          <w:tcPr>
            <w:tcW w:type="dxa" w:w="1872"/>
            <w:shd w:fill="FFFFFF" w:val="clear"/>
          </w:tcPr>
          <w:p>
            <w:r>
              <w:rPr>
                <w:sz w:val="20"/>
                <w:szCs w:val="20"/>
              </w:rPr>
              <w:t xml:space="preserve">Managed standard tier — ~$50–100</w:t>
            </w:r>
          </w:p>
        </w:tc>
        <w:tc>
          <w:tcPr>
            <w:tcW w:type="dxa" w:w="1872"/>
            <w:shd w:fill="FFFFFF" w:val="clear"/>
          </w:tcPr>
          <w:p>
            <w:r>
              <w:rPr>
                <w:sz w:val="20"/>
                <w:szCs w:val="20"/>
              </w:rPr>
              <w:t xml:space="preserve">RDS with read replica — ~$150–400</w:t>
            </w:r>
          </w:p>
        </w:tc>
        <w:tc>
          <w:tcPr>
            <w:tcW w:type="dxa" w:w="1872"/>
            <w:shd w:fill="FFFFFF" w:val="clear"/>
          </w:tcPr>
          <w:p>
            <w:r>
              <w:rPr>
                <w:sz w:val="20"/>
                <w:szCs w:val="20"/>
              </w:rPr>
              <w:t xml:space="preserve">RDS multi-AZ + replicas — ~$800–3,000+</w:t>
            </w:r>
          </w:p>
        </w:tc>
      </w:tr>
      <w:tr>
        <w:tc>
          <w:tcPr>
            <w:tcW w:type="dxa" w:w="1872"/>
            <w:shd w:fill="F2F2F7" w:val="clear"/>
          </w:tcPr>
          <w:p>
            <w:r>
              <w:rPr>
                <w:sz w:val="20"/>
                <w:szCs w:val="20"/>
              </w:rPr>
              <w:t xml:space="preserve">Redis (cache/queue)</w:t>
            </w:r>
          </w:p>
        </w:tc>
        <w:tc>
          <w:tcPr>
            <w:tcW w:type="dxa" w:w="1872"/>
            <w:shd w:fill="F2F2F7" w:val="clear"/>
          </w:tcPr>
          <w:p>
            <w:r>
              <w:rPr>
                <w:sz w:val="20"/>
                <w:szCs w:val="20"/>
              </w:rPr>
              <w:t xml:space="preserve">Managed small — ~$10</w:t>
            </w:r>
          </w:p>
        </w:tc>
        <w:tc>
          <w:tcPr>
            <w:tcW w:type="dxa" w:w="1872"/>
            <w:shd w:fill="F2F2F7" w:val="clear"/>
          </w:tcPr>
          <w:p>
            <w:r>
              <w:rPr>
                <w:sz w:val="20"/>
                <w:szCs w:val="20"/>
              </w:rPr>
              <w:t xml:space="preserve">Managed standard — ~$25–50</w:t>
            </w:r>
          </w:p>
        </w:tc>
        <w:tc>
          <w:tcPr>
            <w:tcW w:type="dxa" w:w="1872"/>
            <w:shd w:fill="F2F2F7" w:val="clear"/>
          </w:tcPr>
          <w:p>
            <w:r>
              <w:rPr>
                <w:sz w:val="20"/>
                <w:szCs w:val="20"/>
              </w:rPr>
              <w:t xml:space="preserve">ElastiCache small cluster — ~$50–150</w:t>
            </w:r>
          </w:p>
        </w:tc>
        <w:tc>
          <w:tcPr>
            <w:tcW w:type="dxa" w:w="1872"/>
            <w:shd w:fill="F2F2F7" w:val="clear"/>
          </w:tcPr>
          <w:p>
            <w:r>
              <w:rPr>
                <w:sz w:val="20"/>
                <w:szCs w:val="20"/>
              </w:rPr>
              <w:t xml:space="preserve">ElastiCache multi-AZ cluster — ~$300–1,000+</w:t>
            </w:r>
          </w:p>
        </w:tc>
      </w:tr>
      <w:tr>
        <w:tc>
          <w:tcPr>
            <w:tcW w:type="dxa" w:w="1872"/>
            <w:shd w:fill="FFFFFF" w:val="clear"/>
          </w:tcPr>
          <w:p>
            <w:r>
              <w:rPr>
                <w:sz w:val="20"/>
                <w:szCs w:val="20"/>
              </w:rPr>
              <w:t xml:space="preserve">Object storage/CDN</w:t>
            </w:r>
          </w:p>
        </w:tc>
        <w:tc>
          <w:tcPr>
            <w:tcW w:type="dxa" w:w="1872"/>
            <w:shd w:fill="FFFFFF" w:val="clear"/>
          </w:tcPr>
          <w:p>
            <w:r>
              <w:rPr>
                <w:sz w:val="20"/>
                <w:szCs w:val="20"/>
              </w:rPr>
              <w:t xml:space="preserve">~$1–5</w:t>
            </w:r>
          </w:p>
        </w:tc>
        <w:tc>
          <w:tcPr>
            <w:tcW w:type="dxa" w:w="1872"/>
            <w:shd w:fill="FFFFFF" w:val="clear"/>
          </w:tcPr>
          <w:p>
            <w:r>
              <w:rPr>
                <w:sz w:val="20"/>
                <w:szCs w:val="20"/>
              </w:rPr>
              <w:t xml:space="preserve">~$5–20</w:t>
            </w:r>
          </w:p>
        </w:tc>
        <w:tc>
          <w:tcPr>
            <w:tcW w:type="dxa" w:w="1872"/>
            <w:shd w:fill="FFFFFF" w:val="clear"/>
          </w:tcPr>
          <w:p>
            <w:r>
              <w:rPr>
                <w:sz w:val="20"/>
                <w:szCs w:val="20"/>
              </w:rPr>
              <w:t xml:space="preserve">~$20–75</w:t>
            </w:r>
          </w:p>
        </w:tc>
        <w:tc>
          <w:tcPr>
            <w:tcW w:type="dxa" w:w="1872"/>
            <w:shd w:fill="FFFFFF" w:val="clear"/>
          </w:tcPr>
          <w:p>
            <w:r>
              <w:rPr>
                <w:sz w:val="20"/>
                <w:szCs w:val="20"/>
              </w:rPr>
              <w:t xml:space="preserve">~$100–500</w:t>
            </w:r>
          </w:p>
        </w:tc>
      </w:tr>
      <w:tr>
        <w:tc>
          <w:tcPr>
            <w:tcW w:type="dxa" w:w="1872"/>
            <w:shd w:fill="F2F2F7" w:val="clear"/>
          </w:tcPr>
          <w:p>
            <w:r>
              <w:rPr>
                <w:sz w:val="20"/>
                <w:szCs w:val="20"/>
              </w:rPr>
              <w:t xml:space="preserve">Monitoring (Sentry+uptime)</w:t>
            </w:r>
          </w:p>
        </w:tc>
        <w:tc>
          <w:tcPr>
            <w:tcW w:type="dxa" w:w="1872"/>
            <w:shd w:fill="F2F2F7" w:val="clear"/>
          </w:tcPr>
          <w:p>
            <w:r>
              <w:rPr>
                <w:sz w:val="20"/>
                <w:szCs w:val="20"/>
              </w:rPr>
              <w:t xml:space="preserve">Free tiers — $0</w:t>
            </w:r>
          </w:p>
        </w:tc>
        <w:tc>
          <w:tcPr>
            <w:tcW w:type="dxa" w:w="1872"/>
            <w:shd w:fill="F2F2F7" w:val="clear"/>
          </w:tcPr>
          <w:p>
            <w:r>
              <w:rPr>
                <w:sz w:val="20"/>
                <w:szCs w:val="20"/>
              </w:rPr>
              <w:t xml:space="preserve">~$26–50</w:t>
            </w:r>
          </w:p>
        </w:tc>
        <w:tc>
          <w:tcPr>
            <w:tcW w:type="dxa" w:w="1872"/>
            <w:shd w:fill="F2F2F7" w:val="clear"/>
          </w:tcPr>
          <w:p>
            <w:r>
              <w:rPr>
                <w:sz w:val="20"/>
                <w:szCs w:val="20"/>
              </w:rPr>
              <w:t xml:space="preserve">~$50–150</w:t>
            </w:r>
          </w:p>
        </w:tc>
        <w:tc>
          <w:tcPr>
            <w:tcW w:type="dxa" w:w="1872"/>
            <w:shd w:fill="F2F2F7" w:val="clear"/>
          </w:tcPr>
          <w:p>
            <w:r>
              <w:rPr>
                <w:sz w:val="20"/>
                <w:szCs w:val="20"/>
              </w:rPr>
              <w:t xml:space="preserve">~$300–1,000+ (may add Datadog)</w:t>
            </w:r>
          </w:p>
        </w:tc>
      </w:tr>
      <w:tr>
        <w:tc>
          <w:tcPr>
            <w:tcW w:type="dxa" w:w="1872"/>
            <w:shd w:fill="FFFFFF" w:val="clear"/>
          </w:tcPr>
          <w:p>
            <w:r>
              <w:rPr>
                <w:sz w:val="20"/>
                <w:szCs w:val="20"/>
              </w:rPr>
              <w:t xml:space="preserve">WhatsApp (Meta Cloud API + BSP fee if used)</w:t>
            </w:r>
          </w:p>
        </w:tc>
        <w:tc>
          <w:tcPr>
            <w:tcW w:type="dxa" w:w="1872"/>
            <w:shd w:fill="FFFFFF" w:val="clear"/>
          </w:tcPr>
          <w:p>
            <w:r>
              <w:rPr>
                <w:sz w:val="20"/>
                <w:szCs w:val="20"/>
              </w:rPr>
              <w:t xml:space="preserve">Pay-per-message; BSP platform fee ~$10–50/mo, message cost ~₹0.11 (utility) per message</w:t>
            </w:r>
          </w:p>
        </w:tc>
        <w:tc>
          <w:tcPr>
            <w:tcW w:type="dxa" w:w="1872"/>
            <w:shd w:fill="FFFFFF" w:val="clear"/>
          </w:tcPr>
          <w:p>
            <w:r>
              <w:rPr>
                <w:sz w:val="20"/>
                <w:szCs w:val="20"/>
              </w:rPr>
              <w:t xml:space="preserve">~$50–150 total at moderate volume</w:t>
            </w:r>
          </w:p>
        </w:tc>
        <w:tc>
          <w:tcPr>
            <w:tcW w:type="dxa" w:w="1872"/>
            <w:shd w:fill="FFFFFF" w:val="clear"/>
          </w:tcPr>
          <w:p>
            <w:r>
              <w:rPr>
                <w:sz w:val="20"/>
                <w:szCs w:val="20"/>
              </w:rPr>
              <w:t xml:space="preserve">~$150–600 at higher volume</w:t>
            </w:r>
          </w:p>
        </w:tc>
        <w:tc>
          <w:tcPr>
            <w:tcW w:type="dxa" w:w="1872"/>
            <w:shd w:fill="FFFFFF" w:val="clear"/>
          </w:tcPr>
          <w:p>
            <w:r>
              <w:rPr>
                <w:sz w:val="20"/>
                <w:szCs w:val="20"/>
              </w:rPr>
              <w:t xml:space="preserve">Volume pricing, dedicated BSP contract</w:t>
            </w:r>
          </w:p>
        </w:tc>
      </w:tr>
      <w:tr>
        <w:tc>
          <w:tcPr>
            <w:tcW w:type="dxa" w:w="1872"/>
            <w:shd w:fill="F2F2F7" w:val="clear"/>
          </w:tcPr>
          <w:p>
            <w:r>
              <w:rPr>
                <w:sz w:val="20"/>
                <w:szCs w:val="20"/>
              </w:rPr>
              <w:t xml:space="preserve">Voice/SMS (Exotel or similar)</w:t>
            </w:r>
          </w:p>
        </w:tc>
        <w:tc>
          <w:tcPr>
            <w:tcW w:type="dxa" w:w="1872"/>
            <w:shd w:fill="F2F2F7" w:val="clear"/>
          </w:tcPr>
          <w:p>
            <w:r>
              <w:rPr>
                <w:sz w:val="20"/>
                <w:szCs w:val="20"/>
              </w:rPr>
              <w:t xml:space="preserve">Pay-per-minute/pay-per-message, no fixed minimum typical</w:t>
            </w:r>
          </w:p>
        </w:tc>
        <w:tc>
          <w:tcPr>
            <w:tcW w:type="dxa" w:w="1872"/>
            <w:shd w:fill="F2F2F7" w:val="clear"/>
          </w:tcPr>
          <w:p>
            <w:r>
              <w:rPr>
                <w:sz w:val="20"/>
                <w:szCs w:val="20"/>
              </w:rPr>
              <w:t xml:space="preserve">~$30–100</w:t>
            </w:r>
          </w:p>
        </w:tc>
        <w:tc>
          <w:tcPr>
            <w:tcW w:type="dxa" w:w="1872"/>
            <w:shd w:fill="F2F2F7" w:val="clear"/>
          </w:tcPr>
          <w:p>
            <w:r>
              <w:rPr>
                <w:sz w:val="20"/>
                <w:szCs w:val="20"/>
              </w:rPr>
              <w:t xml:space="preserve">~$100–400</w:t>
            </w:r>
          </w:p>
        </w:tc>
        <w:tc>
          <w:tcPr>
            <w:tcW w:type="dxa" w:w="1872"/>
            <w:shd w:fill="F2F2F7" w:val="clear"/>
          </w:tcPr>
          <w:p>
            <w:r>
              <w:rPr>
                <w:sz w:val="20"/>
                <w:szCs w:val="20"/>
              </w:rPr>
              <w:t xml:space="preserve">Enterprise contract pricing</w:t>
            </w:r>
          </w:p>
        </w:tc>
      </w:tr>
      <w:tr>
        <w:tc>
          <w:tcPr>
            <w:tcW w:type="dxa" w:w="1872"/>
            <w:shd w:fill="FFFFFF" w:val="clear"/>
          </w:tcPr>
          <w:p>
            <w:r>
              <w:rPr>
                <w:sz w:val="20"/>
                <w:szCs w:val="20"/>
              </w:rPr>
              <w:t xml:space="preserve">Approx. total infra + API run-rate</w:t>
            </w:r>
          </w:p>
        </w:tc>
        <w:tc>
          <w:tcPr>
            <w:tcW w:type="dxa" w:w="1872"/>
            <w:shd w:fill="FFFFFF" w:val="clear"/>
          </w:tcPr>
          <w:p>
            <w:r>
              <w:rPr>
                <w:sz w:val="20"/>
                <w:szCs w:val="20"/>
              </w:rPr>
              <w:t xml:space="preserve">~$60–120/mo</w:t>
            </w:r>
          </w:p>
        </w:tc>
        <w:tc>
          <w:tcPr>
            <w:tcW w:type="dxa" w:w="1872"/>
            <w:shd w:fill="FFFFFF" w:val="clear"/>
          </w:tcPr>
          <w:p>
            <w:r>
              <w:rPr>
                <w:sz w:val="20"/>
                <w:szCs w:val="20"/>
              </w:rPr>
              <w:t xml:space="preserve">~$250–500/mo</w:t>
            </w:r>
          </w:p>
        </w:tc>
        <w:tc>
          <w:tcPr>
            <w:tcW w:type="dxa" w:w="1872"/>
            <w:shd w:fill="FFFFFF" w:val="clear"/>
          </w:tcPr>
          <w:p>
            <w:r>
              <w:rPr>
                <w:sz w:val="20"/>
                <w:szCs w:val="20"/>
              </w:rPr>
              <w:t xml:space="preserve">~$700–2,000/mo</w:t>
            </w:r>
          </w:p>
        </w:tc>
        <w:tc>
          <w:tcPr>
            <w:tcW w:type="dxa" w:w="1872"/>
            <w:shd w:fill="FFFFFF" w:val="clear"/>
          </w:tcPr>
          <w:p>
            <w:r>
              <w:rPr>
                <w:sz w:val="20"/>
                <w:szCs w:val="20"/>
              </w:rPr>
              <w:t xml:space="preserve">$3,000–10,000+/mo</w:t>
            </w:r>
          </w:p>
        </w:tc>
      </w:tr>
    </w:tbl>
    <w:p>
      <w:pPr>
        <w:spacing w:after="200"/>
      </w:pPr>
      <w:r>
        <w:t xml:space="preserve"/>
      </w:r>
    </w:p>
    <w:p>
      <w:pPr>
        <w:spacing w:after="160" w:line="276"/>
      </w:pPr>
      <w:r>
        <w:rPr>
          <w:sz w:val="22"/>
          <w:szCs w:val="22"/>
        </w:rPr>
        <w:t xml:space="preserve">One-time/setup costs to budget for separately from the recurring figures above: WhatsApp Business Account and business verification setup (largely time cost, sometimes a small BSP onboarding fee), Exotel/Twilio number provisioning and DLT template registration (time cost plus small per-template fees), and initial development effort itself, which this document does not estimate since it depends entirely on team composition and timeline — that belongs in a separate project-costing exercise, not this architecture document.</w:t>
      </w:r>
    </w:p>
    <w:p>
      <w:pPr>
        <w:pStyle w:val="Heading1"/>
        <w:spacing w:after="200" w:before="300"/>
      </w:pPr>
      <w:r>
        <w:t xml:space="preserve">27. Recommended Production Architecture</w:t>
      </w:r>
    </w:p>
    <w:p>
      <w:pPr>
        <w:spacing w:after="160" w:line="276"/>
      </w:pPr>
      <w:r>
        <w:rPr>
          <w:sz w:val="22"/>
          <w:szCs w:val="22"/>
        </w:rPr>
        <w:t xml:space="preserve">Frontend: Next.js + TypeScript, hosted on Vercel. Backend: NestJS + TypeScript, organized as a modular monolith with the module boundaries in Section 14, hosted on Render/Railway initially and portable to AWS ECS Fargate later. Database: PostgreSQL (managed), accessed via Prisma ORM. Cache/Queue: Redis + BullMQ. Authentication: JWT access/refresh tokens with RBAC (customer/staff/admin). API architecture: REST, versioned (/api/v1), with the Provider Adapter pattern isolating ICL (and future DHL/FedEx/UPS) integrations. Caching strategy: cache-first tracking lookups with rule-based background refresh (Section 12/25). Hosting/deployment: Render or Railway for the starter/recommended stages, migrating to AWS for growth/enterprise, using the CI/CD pipeline in Section 22. WhatsApp: Meta Cloud API via an authorized BSP (e.g., AiSensy/Interakt/Gupshup) for easier template management. Call automation: Exotel as the India-first default. Monitoring: Sentry + Better Stack, upgrading to Grafana/Datadog only if scale demands it. Backup strategy: daily snapshots + continuous PITR, with weekly off-site copies and periodic restore drills. Project structure: the monorepo layout in Section 14.</w:t>
      </w:r>
    </w:p>
    <w:p>
      <w:pPr>
        <w:pStyle w:val="Heading1"/>
        <w:spacing w:after="200" w:before="300"/>
      </w:pPr>
      <w:r>
        <w:t xml:space="preserve">28.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Pr>
          <w:p>
            <w:r>
              <w:rPr>
                <w:b/>
                <w:bCs/>
                <w:color w:val="FFFFFF"/>
                <w:sz w:val="20"/>
                <w:szCs w:val="20"/>
              </w:rPr>
              <w:t xml:space="preserve">Phase</w:t>
            </w:r>
          </w:p>
        </w:tc>
        <w:tc>
          <w:tcPr>
            <w:tcW w:type="dxa" w:w="2340"/>
            <w:shd w:fill="1F3864" w:val="clear"/>
          </w:tcPr>
          <w:p>
            <w:r>
              <w:rPr>
                <w:b/>
                <w:bCs/>
                <w:color w:val="FFFFFF"/>
                <w:sz w:val="20"/>
                <w:szCs w:val="20"/>
              </w:rPr>
              <w:t xml:space="preserve">Focus</w:t>
            </w:r>
          </w:p>
        </w:tc>
        <w:tc>
          <w:tcPr>
            <w:tcW w:type="dxa" w:w="2340"/>
            <w:shd w:fill="1F3864" w:val="clear"/>
          </w:tcPr>
          <w:p>
            <w:r>
              <w:rPr>
                <w:b/>
                <w:bCs/>
                <w:color w:val="FFFFFF"/>
                <w:sz w:val="20"/>
                <w:szCs w:val="20"/>
              </w:rPr>
              <w:t xml:space="preserve">Key deliverables</w:t>
            </w:r>
          </w:p>
        </w:tc>
        <w:tc>
          <w:tcPr>
            <w:tcW w:type="dxa" w:w="2340"/>
            <w:shd w:fill="1F3864" w:val="clear"/>
          </w:tcPr>
          <w:p>
            <w:r>
              <w:rPr>
                <w:b/>
                <w:bCs/>
                <w:color w:val="FFFFFF"/>
                <w:sz w:val="20"/>
                <w:szCs w:val="20"/>
              </w:rPr>
              <w:t xml:space="preserve">Definition of Done</w:t>
            </w:r>
          </w:p>
        </w:tc>
      </w:tr>
      <w:tr>
        <w:tc>
          <w:tcPr>
            <w:tcW w:type="dxa" w:w="2340"/>
            <w:shd w:fill="FFFFFF" w:val="clear"/>
          </w:tcPr>
          <w:p>
            <w:r>
              <w:rPr>
                <w:sz w:val="20"/>
                <w:szCs w:val="20"/>
              </w:rPr>
              <w:t xml:space="preserve">1 — Foundation</w:t>
            </w:r>
          </w:p>
        </w:tc>
        <w:tc>
          <w:tcPr>
            <w:tcW w:type="dxa" w:w="2340"/>
            <w:shd w:fill="FFFFFF" w:val="clear"/>
          </w:tcPr>
          <w:p>
            <w:r>
              <w:rPr>
                <w:sz w:val="20"/>
                <w:szCs w:val="20"/>
              </w:rPr>
              <w:t xml:space="preserve">Repo, tooling, environments</w:t>
            </w:r>
          </w:p>
        </w:tc>
        <w:tc>
          <w:tcPr>
            <w:tcW w:type="dxa" w:w="2340"/>
            <w:shd w:fill="FFFFFF" w:val="clear"/>
          </w:tcPr>
          <w:p>
            <w:r>
              <w:rPr>
                <w:sz w:val="20"/>
                <w:szCs w:val="20"/>
              </w:rPr>
              <w:t xml:space="preserve">Monorepo scaffold, Docker Compose local dev, CI pipeline skeleton, base NestJS+Next.js apps deployed to staging</w:t>
            </w:r>
          </w:p>
        </w:tc>
        <w:tc>
          <w:tcPr>
            <w:tcW w:type="dxa" w:w="2340"/>
            <w:shd w:fill="FFFFFF" w:val="clear"/>
          </w:tcPr>
          <w:p>
            <w:r>
              <w:rPr>
                <w:sz w:val="20"/>
                <w:szCs w:val="20"/>
              </w:rPr>
              <w:t xml:space="preserve">A blank "hello world" version of both apps is deployed to staging via CI</w:t>
            </w:r>
          </w:p>
        </w:tc>
      </w:tr>
      <w:tr>
        <w:tc>
          <w:tcPr>
            <w:tcW w:type="dxa" w:w="2340"/>
            <w:shd w:fill="F2F2F7" w:val="clear"/>
          </w:tcPr>
          <w:p>
            <w:r>
              <w:rPr>
                <w:sz w:val="20"/>
                <w:szCs w:val="20"/>
              </w:rPr>
              <w:t xml:space="preserve">2 — Authentication</w:t>
            </w:r>
          </w:p>
        </w:tc>
        <w:tc>
          <w:tcPr>
            <w:tcW w:type="dxa" w:w="2340"/>
            <w:shd w:fill="F2F2F7" w:val="clear"/>
          </w:tcPr>
          <w:p>
            <w:r>
              <w:rPr>
                <w:sz w:val="20"/>
                <w:szCs w:val="20"/>
              </w:rPr>
              <w:t xml:space="preserve">Customer/staff/admin auth</w:t>
            </w:r>
          </w:p>
        </w:tc>
        <w:tc>
          <w:tcPr>
            <w:tcW w:type="dxa" w:w="2340"/>
            <w:shd w:fill="F2F2F7" w:val="clear"/>
          </w:tcPr>
          <w:p>
            <w:r>
              <w:rPr>
                <w:sz w:val="20"/>
                <w:szCs w:val="20"/>
              </w:rPr>
              <w:t xml:space="preserve">JWT auth, RBAC guards, login/register/refresh flows</w:t>
            </w:r>
          </w:p>
        </w:tc>
        <w:tc>
          <w:tcPr>
            <w:tcW w:type="dxa" w:w="2340"/>
            <w:shd w:fill="F2F2F7" w:val="clear"/>
          </w:tcPr>
          <w:p>
            <w:r>
              <w:rPr>
                <w:sz w:val="20"/>
                <w:szCs w:val="20"/>
              </w:rPr>
              <w:t xml:space="preserve">A staff user can log in and hit a protected admin endpoint; a customer cannot access admin routes</w:t>
            </w:r>
          </w:p>
        </w:tc>
      </w:tr>
      <w:tr>
        <w:tc>
          <w:tcPr>
            <w:tcW w:type="dxa" w:w="2340"/>
            <w:shd w:fill="FFFFFF" w:val="clear"/>
          </w:tcPr>
          <w:p>
            <w:r>
              <w:rPr>
                <w:sz w:val="20"/>
                <w:szCs w:val="20"/>
              </w:rPr>
              <w:t xml:space="preserve">3 — Customer system</w:t>
            </w:r>
          </w:p>
        </w:tc>
        <w:tc>
          <w:tcPr>
            <w:tcW w:type="dxa" w:w="2340"/>
            <w:shd w:fill="FFFFFF" w:val="clear"/>
          </w:tcPr>
          <w:p>
            <w:r>
              <w:rPr>
                <w:sz w:val="20"/>
                <w:szCs w:val="20"/>
              </w:rPr>
              <w:t xml:space="preserve">Customer CRUD</w:t>
            </w:r>
          </w:p>
        </w:tc>
        <w:tc>
          <w:tcPr>
            <w:tcW w:type="dxa" w:w="2340"/>
            <w:shd w:fill="FFFFFF" w:val="clear"/>
          </w:tcPr>
          <w:p>
            <w:r>
              <w:rPr>
                <w:sz w:val="20"/>
                <w:szCs w:val="20"/>
              </w:rPr>
              <w:t xml:space="preserve">Customer module, DPDP-compliant consent capture on signup/contact-collection</w:t>
            </w:r>
          </w:p>
        </w:tc>
        <w:tc>
          <w:tcPr>
            <w:tcW w:type="dxa" w:w="2340"/>
            <w:shd w:fill="FFFFFF" w:val="clear"/>
          </w:tcPr>
          <w:p>
            <w:r>
              <w:rPr>
                <w:sz w:val="20"/>
                <w:szCs w:val="20"/>
              </w:rPr>
              <w:t xml:space="preserve">Staff can create/view/edit customers; customer data validated and stored</w:t>
            </w:r>
          </w:p>
        </w:tc>
      </w:tr>
      <w:tr>
        <w:tc>
          <w:tcPr>
            <w:tcW w:type="dxa" w:w="2340"/>
            <w:shd w:fill="F2F2F7" w:val="clear"/>
          </w:tcPr>
          <w:p>
            <w:r>
              <w:rPr>
                <w:sz w:val="20"/>
                <w:szCs w:val="20"/>
              </w:rPr>
              <w:t xml:space="preserve">4 — Order system</w:t>
            </w:r>
          </w:p>
        </w:tc>
        <w:tc>
          <w:tcPr>
            <w:tcW w:type="dxa" w:w="2340"/>
            <w:shd w:fill="F2F2F7" w:val="clear"/>
          </w:tcPr>
          <w:p>
            <w:r>
              <w:rPr>
                <w:sz w:val="20"/>
                <w:szCs w:val="20"/>
              </w:rPr>
              <w:t xml:space="preserve">Order lifecycle</w:t>
            </w:r>
          </w:p>
        </w:tc>
        <w:tc>
          <w:tcPr>
            <w:tcW w:type="dxa" w:w="2340"/>
            <w:shd w:fill="F2F2F7" w:val="clear"/>
          </w:tcPr>
          <w:p>
            <w:r>
              <w:rPr>
                <w:sz w:val="20"/>
                <w:szCs w:val="20"/>
              </w:rPr>
              <w:t xml:space="preserve">Order module, order-to-shipment linkage</w:t>
            </w:r>
          </w:p>
        </w:tc>
        <w:tc>
          <w:tcPr>
            <w:tcW w:type="dxa" w:w="2340"/>
            <w:shd w:fill="F2F2F7" w:val="clear"/>
          </w:tcPr>
          <w:p>
            <w:r>
              <w:rPr>
                <w:sz w:val="20"/>
                <w:szCs w:val="20"/>
              </w:rPr>
              <w:t xml:space="preserve">Staff can create an order and it produces a shipment record with a generated internal tracking number</w:t>
            </w:r>
          </w:p>
        </w:tc>
      </w:tr>
      <w:tr>
        <w:tc>
          <w:tcPr>
            <w:tcW w:type="dxa" w:w="2340"/>
            <w:shd w:fill="FFFFFF" w:val="clear"/>
          </w:tcPr>
          <w:p>
            <w:r>
              <w:rPr>
                <w:sz w:val="20"/>
                <w:szCs w:val="20"/>
              </w:rPr>
              <w:t xml:space="preserve">5 — Tracking system (core, no ICL yet)</w:t>
            </w:r>
          </w:p>
        </w:tc>
        <w:tc>
          <w:tcPr>
            <w:tcW w:type="dxa" w:w="2340"/>
            <w:shd w:fill="FFFFFF" w:val="clear"/>
          </w:tcPr>
          <w:p>
            <w:r>
              <w:rPr>
                <w:sz w:val="20"/>
                <w:szCs w:val="20"/>
              </w:rPr>
              <w:t xml:space="preserve">Tracking data model, canonical status, cache layer</w:t>
            </w:r>
          </w:p>
        </w:tc>
        <w:tc>
          <w:tcPr>
            <w:tcW w:type="dxa" w:w="2340"/>
            <w:shd w:fill="FFFFFF" w:val="clear"/>
          </w:tcPr>
          <w:p>
            <w:r>
              <w:rPr>
                <w:sz w:val="20"/>
                <w:szCs w:val="20"/>
              </w:rPr>
              <w:t xml:space="preserve">Tracking module, TrackingEvent/TrackingStatus schema, Redis cache wiring, a mock/stub provider adapter</w:t>
            </w:r>
          </w:p>
        </w:tc>
        <w:tc>
          <w:tcPr>
            <w:tcW w:type="dxa" w:w="2340"/>
            <w:shd w:fill="FFFFFF" w:val="clear"/>
          </w:tcPr>
          <w:p>
            <w:r>
              <w:rPr>
                <w:sz w:val="20"/>
                <w:szCs w:val="20"/>
              </w:rPr>
              <w:t xml:space="preserve">Public tracking page returns a normalized result from the stub adapter end-to-end</w:t>
            </w:r>
          </w:p>
        </w:tc>
      </w:tr>
      <w:tr>
        <w:tc>
          <w:tcPr>
            <w:tcW w:type="dxa" w:w="2340"/>
            <w:shd w:fill="F2F2F7" w:val="clear"/>
          </w:tcPr>
          <w:p>
            <w:r>
              <w:rPr>
                <w:sz w:val="20"/>
                <w:szCs w:val="20"/>
              </w:rPr>
              <w:t xml:space="preserve">6 — ICL API integration</w:t>
            </w:r>
          </w:p>
        </w:tc>
        <w:tc>
          <w:tcPr>
            <w:tcW w:type="dxa" w:w="2340"/>
            <w:shd w:fill="F2F2F7" w:val="clear"/>
          </w:tcPr>
          <w:p>
            <w:r>
              <w:rPr>
                <w:sz w:val="20"/>
                <w:szCs w:val="20"/>
              </w:rPr>
              <w:t xml:space="preserve">Real ICLAdapter</w:t>
            </w:r>
          </w:p>
        </w:tc>
        <w:tc>
          <w:tcPr>
            <w:tcW w:type="dxa" w:w="2340"/>
            <w:shd w:fill="F2F2F7" w:val="clear"/>
          </w:tcPr>
          <w:p>
            <w:r>
              <w:rPr>
                <w:sz w:val="20"/>
                <w:szCs w:val="20"/>
              </w:rPr>
              <w:t xml:space="preserve">ICLAdapter implementing the ShippingProvider interface against real ICL credentials/docs (pending Section 31 checklist being satisfied by the client), error handling, retries, circuit breaker</w:t>
            </w:r>
          </w:p>
        </w:tc>
        <w:tc>
          <w:tcPr>
            <w:tcW w:type="dxa" w:w="2340"/>
            <w:shd w:fill="F2F2F7" w:val="clear"/>
          </w:tcPr>
          <w:p>
            <w:r>
              <w:rPr>
                <w:sz w:val="20"/>
                <w:szCs w:val="20"/>
              </w:rPr>
              <w:t xml:space="preserve">A real internal tracking number resolves to live, normalized ICL tracking data in staging</w:t>
            </w:r>
          </w:p>
        </w:tc>
      </w:tr>
      <w:tr>
        <w:tc>
          <w:tcPr>
            <w:tcW w:type="dxa" w:w="2340"/>
            <w:shd w:fill="FFFFFF" w:val="clear"/>
          </w:tcPr>
          <w:p>
            <w:r>
              <w:rPr>
                <w:sz w:val="20"/>
                <w:szCs w:val="20"/>
              </w:rPr>
              <w:t xml:space="preserve">7 — Admin dashboard</w:t>
            </w:r>
          </w:p>
        </w:tc>
        <w:tc>
          <w:tcPr>
            <w:tcW w:type="dxa" w:w="2340"/>
            <w:shd w:fill="FFFFFF" w:val="clear"/>
          </w:tcPr>
          <w:p>
            <w:r>
              <w:rPr>
                <w:sz w:val="20"/>
                <w:szCs w:val="20"/>
              </w:rPr>
              <w:t xml:space="preserve">Staff/admin operational tools</w:t>
            </w:r>
          </w:p>
        </w:tc>
        <w:tc>
          <w:tcPr>
            <w:tcW w:type="dxa" w:w="2340"/>
            <w:shd w:fill="FFFFFF" w:val="clear"/>
          </w:tcPr>
          <w:p>
            <w:r>
              <w:rPr>
                <w:sz w:val="20"/>
                <w:szCs w:val="20"/>
              </w:rPr>
              <w:t xml:space="preserve">Tracking mapping management, manual override UI, integration-health screen (ICL error rate/latency), audit log viewer</w:t>
            </w:r>
          </w:p>
        </w:tc>
        <w:tc>
          <w:tcPr>
            <w:tcW w:type="dxa" w:w="2340"/>
            <w:shd w:fill="FFFFFF" w:val="clear"/>
          </w:tcPr>
          <w:p>
            <w:r>
              <w:rPr>
                <w:sz w:val="20"/>
                <w:szCs w:val="20"/>
              </w:rPr>
              <w:t xml:space="preserve">Staff can fully operate the tracking mapping workflow without direct DB access</w:t>
            </w:r>
          </w:p>
        </w:tc>
      </w:tr>
      <w:tr>
        <w:tc>
          <w:tcPr>
            <w:tcW w:type="dxa" w:w="2340"/>
            <w:shd w:fill="F2F2F7" w:val="clear"/>
          </w:tcPr>
          <w:p>
            <w:r>
              <w:rPr>
                <w:sz w:val="20"/>
                <w:szCs w:val="20"/>
              </w:rPr>
              <w:t xml:space="preserve">8 — WhatsApp automation</w:t>
            </w:r>
          </w:p>
        </w:tc>
        <w:tc>
          <w:tcPr>
            <w:tcW w:type="dxa" w:w="2340"/>
            <w:shd w:fill="F2F2F7" w:val="clear"/>
          </w:tcPr>
          <w:p>
            <w:r>
              <w:rPr>
                <w:sz w:val="20"/>
                <w:szCs w:val="20"/>
              </w:rPr>
              <w:t xml:space="preserve">Transactional notifications</w:t>
            </w:r>
          </w:p>
        </w:tc>
        <w:tc>
          <w:tcPr>
            <w:tcW w:type="dxa" w:w="2340"/>
            <w:shd w:fill="F2F2F7" w:val="clear"/>
          </w:tcPr>
          <w:p>
            <w:r>
              <w:rPr>
                <w:sz w:val="20"/>
                <w:szCs w:val="20"/>
              </w:rPr>
              <w:t xml:space="preserve">WABA setup, approved templates, worker jobs for order/tracking notifications, delivery-status webhook handling</w:t>
            </w:r>
          </w:p>
        </w:tc>
        <w:tc>
          <w:tcPr>
            <w:tcW w:type="dxa" w:w="2340"/>
            <w:shd w:fill="F2F2F7" w:val="clear"/>
          </w:tcPr>
          <w:p>
            <w:r>
              <w:rPr>
                <w:sz w:val="20"/>
                <w:szCs w:val="20"/>
              </w:rPr>
              <w:t xml:space="preserve">Order confirmation and tracking-status-change WhatsApp messages are sent and logged correctly in staging with a test WABA</w:t>
            </w:r>
          </w:p>
        </w:tc>
      </w:tr>
      <w:tr>
        <w:tc>
          <w:tcPr>
            <w:tcW w:type="dxa" w:w="2340"/>
            <w:shd w:fill="FFFFFF" w:val="clear"/>
          </w:tcPr>
          <w:p>
            <w:r>
              <w:rPr>
                <w:sz w:val="20"/>
                <w:szCs w:val="20"/>
              </w:rPr>
              <w:t xml:space="preserve">9 — Call automation</w:t>
            </w:r>
          </w:p>
        </w:tc>
        <w:tc>
          <w:tcPr>
            <w:tcW w:type="dxa" w:w="2340"/>
            <w:shd w:fill="FFFFFF" w:val="clear"/>
          </w:tcPr>
          <w:p>
            <w:r>
              <w:rPr>
                <w:sz w:val="20"/>
                <w:szCs w:val="20"/>
              </w:rPr>
              <w:t xml:space="preserve">Voice notifications/OTP fallback</w:t>
            </w:r>
          </w:p>
        </w:tc>
        <w:tc>
          <w:tcPr>
            <w:tcW w:type="dxa" w:w="2340"/>
            <w:shd w:fill="FFFFFF" w:val="clear"/>
          </w:tcPr>
          <w:p>
            <w:r>
              <w:rPr>
                <w:sz w:val="20"/>
                <w:szCs w:val="20"/>
              </w:rPr>
              <w:t xml:space="preserve">Exotel integration, DLT template/number registration, outbound call jobs</w:t>
            </w:r>
          </w:p>
        </w:tc>
        <w:tc>
          <w:tcPr>
            <w:tcW w:type="dxa" w:w="2340"/>
            <w:shd w:fill="FFFFFF" w:val="clear"/>
          </w:tcPr>
          <w:p>
            <w:r>
              <w:rPr>
                <w:sz w:val="20"/>
                <w:szCs w:val="20"/>
              </w:rPr>
              <w:t xml:space="preserve">A test outbound delivery-reminder call completes successfully and is logged</w:t>
            </w:r>
          </w:p>
        </w:tc>
      </w:tr>
      <w:tr>
        <w:tc>
          <w:tcPr>
            <w:tcW w:type="dxa" w:w="2340"/>
            <w:shd w:fill="F2F2F7" w:val="clear"/>
          </w:tcPr>
          <w:p>
            <w:r>
              <w:rPr>
                <w:sz w:val="20"/>
                <w:szCs w:val="20"/>
              </w:rPr>
              <w:t xml:space="preserve">10 — Production deployment</w:t>
            </w:r>
          </w:p>
        </w:tc>
        <w:tc>
          <w:tcPr>
            <w:tcW w:type="dxa" w:w="2340"/>
            <w:shd w:fill="F2F2F7" w:val="clear"/>
          </w:tcPr>
          <w:p>
            <w:r>
              <w:rPr>
                <w:sz w:val="20"/>
                <w:szCs w:val="20"/>
              </w:rPr>
              <w:t xml:space="preserve">Go-live</w:t>
            </w:r>
          </w:p>
        </w:tc>
        <w:tc>
          <w:tcPr>
            <w:tcW w:type="dxa" w:w="2340"/>
            <w:shd w:fill="F2F2F7" w:val="clear"/>
          </w:tcPr>
          <w:p>
            <w:r>
              <w:rPr>
                <w:sz w:val="20"/>
                <w:szCs w:val="20"/>
              </w:rPr>
              <w:t xml:space="preserve">Production infra provisioned (Architecture A or B per Section 21), secrets configured, DNS/TLS cutover, real ICL production credentials wired in</w:t>
            </w:r>
          </w:p>
        </w:tc>
        <w:tc>
          <w:tcPr>
            <w:tcW w:type="dxa" w:w="2340"/>
            <w:shd w:fill="F2F2F7" w:val="clear"/>
          </w:tcPr>
          <w:p>
            <w:r>
              <w:rPr>
                <w:sz w:val="20"/>
                <w:szCs w:val="20"/>
              </w:rPr>
              <w:t xml:space="preserve">Production tracking page is live on the client's domain, serving real customer traffic</w:t>
            </w:r>
          </w:p>
        </w:tc>
      </w:tr>
      <w:tr>
        <w:tc>
          <w:tcPr>
            <w:tcW w:type="dxa" w:w="2340"/>
            <w:shd w:fill="FFFFFF" w:val="clear"/>
          </w:tcPr>
          <w:p>
            <w:r>
              <w:rPr>
                <w:sz w:val="20"/>
                <w:szCs w:val="20"/>
              </w:rPr>
              <w:t xml:space="preserve">11 — Monitoring and maintenance</w:t>
            </w:r>
          </w:p>
        </w:tc>
        <w:tc>
          <w:tcPr>
            <w:tcW w:type="dxa" w:w="2340"/>
            <w:shd w:fill="FFFFFF" w:val="clear"/>
          </w:tcPr>
          <w:p>
            <w:r>
              <w:rPr>
                <w:sz w:val="20"/>
                <w:szCs w:val="20"/>
              </w:rPr>
              <w:t xml:space="preserve">Observability, ongoing ops</w:t>
            </w:r>
          </w:p>
        </w:tc>
        <w:tc>
          <w:tcPr>
            <w:tcW w:type="dxa" w:w="2340"/>
            <w:shd w:fill="FFFFFF" w:val="clear"/>
          </w:tcPr>
          <w:p>
            <w:r>
              <w:rPr>
                <w:sz w:val="20"/>
                <w:szCs w:val="20"/>
              </w:rPr>
              <w:t xml:space="preserve">Sentry/Better Stack wired to production, backup/restore drill completed, on-call/alerting runbook written</w:t>
            </w:r>
          </w:p>
        </w:tc>
        <w:tc>
          <w:tcPr>
            <w:tcW w:type="dxa" w:w="2340"/>
            <w:shd w:fill="FFFFFF" w:val="clear"/>
          </w:tcPr>
          <w:p>
            <w:r>
              <w:rPr>
                <w:sz w:val="20"/>
                <w:szCs w:val="20"/>
              </w:rPr>
              <w:t xml:space="preserve">A simulated ICL outage and a simulated database restore have both been tested successfully in a staging drill</w:t>
            </w:r>
          </w:p>
        </w:tc>
      </w:tr>
    </w:tbl>
    <w:p>
      <w:pPr>
        <w:spacing w:after="200"/>
      </w:pPr>
      <w:r>
        <w:t xml:space="preserve"/>
      </w:r>
    </w:p>
    <w:p>
      <w:pPr>
        <w:spacing w:after="160" w:line="276"/>
      </w:pPr>
      <w:r>
        <w:rPr>
          <w:sz w:val="22"/>
          <w:szCs w:val="22"/>
        </w:rPr>
        <w:t xml:space="preserve">Each phase's testing requirement follows the same pattern: unit tests for business logic, integration tests against a mocked provider adapter (never against the real ICL API in CI, to avoid flakiness and unnecessary API usage/cost), and a manual staging smoke test before promotion, per the CI/CD pipeline in Section 22.</w:t>
      </w:r>
    </w:p>
    <w:p>
      <w:pPr>
        <w:pStyle w:val="Heading1"/>
        <w:spacing w:after="200" w:before="300"/>
      </w:pPr>
      <w:r>
        <w:t xml:space="preserve">29. Risks and Technical Challenges</w:t>
      </w:r>
    </w:p>
    <w:p>
      <w:pPr>
        <w:pStyle w:val="ListParagraph"/>
        <w:numPr>
          <w:ilvl w:val="0"/>
          <w:numId w:val="2"/>
        </w:numPr>
        <w:spacing w:after="100"/>
      </w:pPr>
      <w:r>
        <w:rPr>
          <w:sz w:val="22"/>
          <w:szCs w:val="22"/>
        </w:rPr>
        <w:t xml:space="preserve">ICL API unknowns are the largest single risk to the schedule — until the client obtains real API/EDI documentation and credentials (Section 31), Phase 6 cannot be finalized; Phases 1–5 and 7–11 can and should proceed in parallel using a stub adapter to avoid blocking the whole project on this one dependency.</w:t>
      </w:r>
    </w:p>
    <w:p>
      <w:pPr>
        <w:pStyle w:val="ListParagraph"/>
        <w:numPr>
          <w:ilvl w:val="0"/>
          <w:numId w:val="2"/>
        </w:numPr>
        <w:spacing w:after="100"/>
      </w:pPr>
      <w:r>
        <w:rPr>
          <w:sz w:val="22"/>
          <w:szCs w:val="22"/>
        </w:rPr>
        <w:t xml:space="preserve">If ICL turns out to offer only a file-based (CSV/SFTP/EDI) integration rather than a REST API, the Tracking Service's refresh cadence must shift from "call on demand" to "poll/ingest on a schedule," which is already accommodated by the queue-based background sync design in Section 13, but should be confirmed early so the caching TTLs in Section 12 are set realistically.</w:t>
      </w:r>
    </w:p>
    <w:p>
      <w:pPr>
        <w:pStyle w:val="ListParagraph"/>
        <w:numPr>
          <w:ilvl w:val="0"/>
          <w:numId w:val="2"/>
        </w:numPr>
        <w:spacing w:after="100"/>
      </w:pPr>
      <w:r>
        <w:rPr>
          <w:sz w:val="22"/>
          <w:szCs w:val="22"/>
        </w:rPr>
        <w:t xml:space="preserve">WhatsApp template approval delays: Meta's review process for new message templates can take anywhere from minutes to a few days and occasionally requires resubmission if a template is rejected for wording — this should be started early in Phase 8, not at the end.</w:t>
      </w:r>
    </w:p>
    <w:p>
      <w:pPr>
        <w:pStyle w:val="ListParagraph"/>
        <w:numPr>
          <w:ilvl w:val="0"/>
          <w:numId w:val="2"/>
        </w:numPr>
        <w:spacing w:after="100"/>
      </w:pPr>
      <w:r>
        <w:rPr>
          <w:sz w:val="22"/>
          <w:szCs w:val="22"/>
        </w:rPr>
        <w:t xml:space="preserve">DLT/TRAI registration for voice and SMS in India can take one to several business days per template/entity and is a common source of launch delays if left until the last week of Phase 9.</w:t>
      </w:r>
    </w:p>
    <w:p>
      <w:pPr>
        <w:pStyle w:val="ListParagraph"/>
        <w:numPr>
          <w:ilvl w:val="0"/>
          <w:numId w:val="2"/>
        </w:numPr>
        <w:spacing w:after="100"/>
      </w:pPr>
      <w:r>
        <w:rPr>
          <w:sz w:val="22"/>
          <w:szCs w:val="22"/>
        </w:rPr>
        <w:t xml:space="preserve">Rate limits/quotas from ICL (or any future provider) are currently unknown; the cache-first architecture (Section 12) is the primary mitigation, but the exact refresh cadence should be tuned once real rate-limit numbers are known from ICL.</w:t>
      </w:r>
    </w:p>
    <w:p>
      <w:pPr>
        <w:pStyle w:val="ListParagraph"/>
        <w:numPr>
          <w:ilvl w:val="0"/>
          <w:numId w:val="2"/>
        </w:numPr>
        <w:spacing w:after="100"/>
      </w:pPr>
      <w:r>
        <w:rPr>
          <w:sz w:val="22"/>
          <w:szCs w:val="22"/>
        </w:rPr>
        <w:t xml:space="preserve">Data protection (DPDP Act) compliance requires an actual privacy notice, consent flow, and data-retention policy to be authored (a legal/compliance task, not purely a technical one) before collecting customer phone numbers and addresses in production.</w:t>
      </w:r>
    </w:p>
    <w:p>
      <w:pPr>
        <w:pStyle w:val="Heading1"/>
        <w:spacing w:after="200" w:before="300"/>
      </w:pPr>
      <w:r>
        <w:t xml:space="preserve">30. Information Required From Client</w:t>
      </w:r>
    </w:p>
    <w:p>
      <w:pPr>
        <w:spacing w:after="160" w:line="276"/>
      </w:pPr>
      <w:r>
        <w:rPr>
          <w:sz w:val="22"/>
          <w:szCs w:val="22"/>
        </w:rPr>
        <w:t xml:space="preserve">Checklist of business/product decisions the client should confirm before or during early development:</w:t>
      </w:r>
    </w:p>
    <w:p>
      <w:pPr>
        <w:pStyle w:val="ListParagraph"/>
        <w:numPr>
          <w:ilvl w:val="0"/>
          <w:numId w:val="2"/>
        </w:numPr>
        <w:spacing w:after="100"/>
      </w:pPr>
      <w:r>
        <w:rPr>
          <w:sz w:val="22"/>
          <w:szCs w:val="22"/>
        </w:rPr>
        <w:t xml:space="preserve">Exact legal entity name and current commercial contact for "ICL" — confirm which ICL entity is the actual shipping partner (Section 12 found multiple unrelated companies sharing this name).</w:t>
      </w:r>
    </w:p>
    <w:p>
      <w:pPr>
        <w:pStyle w:val="ListParagraph"/>
        <w:numPr>
          <w:ilvl w:val="0"/>
          <w:numId w:val="2"/>
        </w:numPr>
        <w:spacing w:after="100"/>
      </w:pPr>
      <w:r>
        <w:rPr>
          <w:sz w:val="22"/>
          <w:szCs w:val="22"/>
        </w:rPr>
        <w:t xml:space="preserve">Whether shipment orders will be created by customers directly on the website (self-service booking) or only by staff on the customer's behalf, at least initially — this affects the priority of the Order module's customer-facing UI.</w:t>
      </w:r>
    </w:p>
    <w:p>
      <w:pPr>
        <w:pStyle w:val="ListParagraph"/>
        <w:numPr>
          <w:ilvl w:val="0"/>
          <w:numId w:val="2"/>
        </w:numPr>
        <w:spacing w:after="100"/>
      </w:pPr>
      <w:r>
        <w:rPr>
          <w:sz w:val="22"/>
          <w:szCs w:val="22"/>
        </w:rPr>
        <w:t xml:space="preserve">Whether payment collection is in scope for the tracking-first release or a later phase, and if so which payment gateway (Razorpay, PayU, etc.) the client already uses or prefers.</w:t>
      </w:r>
    </w:p>
    <w:p>
      <w:pPr>
        <w:pStyle w:val="ListParagraph"/>
        <w:numPr>
          <w:ilvl w:val="0"/>
          <w:numId w:val="2"/>
        </w:numPr>
        <w:spacing w:after="100"/>
      </w:pPr>
      <w:r>
        <w:rPr>
          <w:sz w:val="22"/>
          <w:szCs w:val="22"/>
        </w:rPr>
        <w:t xml:space="preserve">Confirmation of required notification channels and their priority order (WhatsApp first, voice as fallback, SMS as a third channel, or a different priority).</w:t>
      </w:r>
    </w:p>
    <w:p>
      <w:pPr>
        <w:pStyle w:val="ListParagraph"/>
        <w:numPr>
          <w:ilvl w:val="0"/>
          <w:numId w:val="2"/>
        </w:numPr>
        <w:spacing w:after="100"/>
      </w:pPr>
      <w:r>
        <w:rPr>
          <w:sz w:val="22"/>
          <w:szCs w:val="22"/>
        </w:rPr>
        <w:t xml:space="preserve">Existing brand assets, domain name, and hosting/DNS access for the production cutover in Phase 10.</w:t>
      </w:r>
    </w:p>
    <w:p>
      <w:pPr>
        <w:pStyle w:val="ListParagraph"/>
        <w:numPr>
          <w:ilvl w:val="0"/>
          <w:numId w:val="2"/>
        </w:numPr>
        <w:spacing w:after="100"/>
      </w:pPr>
      <w:r>
        <w:rPr>
          <w:sz w:val="22"/>
          <w:szCs w:val="22"/>
        </w:rPr>
        <w:t xml:space="preserve">Any existing customer data (spreadsheets, another system) that needs to be migrated into the new Customer/Order tables.</w:t>
      </w:r>
    </w:p>
    <w:p>
      <w:pPr>
        <w:pStyle w:val="ListParagraph"/>
        <w:numPr>
          <w:ilvl w:val="0"/>
          <w:numId w:val="2"/>
        </w:numPr>
        <w:spacing w:after="100"/>
      </w:pPr>
      <w:r>
        <w:rPr>
          <w:sz w:val="22"/>
          <w:szCs w:val="22"/>
        </w:rPr>
        <w:t xml:space="preserve">Target launch date, to translate the phase plan in Section 28 into a calendar timeline with the development team.</w:t>
      </w:r>
    </w:p>
    <w:p>
      <w:pPr>
        <w:pStyle w:val="Heading1"/>
        <w:spacing w:after="200" w:before="300"/>
      </w:pPr>
      <w:r>
        <w:t xml:space="preserve">31. Information Required From ICL</w:t>
      </w:r>
    </w:p>
    <w:p>
      <w:pPr>
        <w:spacing w:after="160" w:line="276"/>
      </w:pPr>
      <w:r>
        <w:rPr>
          <w:sz w:val="22"/>
          <w:szCs w:val="22"/>
        </w:rPr>
        <w:t xml:space="preserve">This is the single most important checklist in this document. It should be taken directly to ICL's business or technical contact before Phase 6 can be scoped precisely:</w:t>
      </w:r>
    </w:p>
    <w:p>
      <w:pPr>
        <w:pStyle w:val="ListParagraph"/>
        <w:numPr>
          <w:ilvl w:val="0"/>
          <w:numId w:val="2"/>
        </w:numPr>
        <w:spacing w:after="100"/>
      </w:pPr>
      <w:r>
        <w:rPr>
          <w:sz w:val="22"/>
          <w:szCs w:val="22"/>
        </w:rPr>
        <w:t xml:space="preserve">Confirmation of integration method offered: REST/JSON API, SOAP/XML API, CSV/EDI file exchange over SFTP, or tracking-page-only with no API.</w:t>
      </w:r>
    </w:p>
    <w:p>
      <w:pPr>
        <w:pStyle w:val="ListParagraph"/>
        <w:numPr>
          <w:ilvl w:val="0"/>
          <w:numId w:val="2"/>
        </w:numPr>
        <w:spacing w:after="100"/>
      </w:pPr>
      <w:r>
        <w:rPr>
          <w:sz w:val="22"/>
          <w:szCs w:val="22"/>
        </w:rPr>
        <w:t xml:space="preserve">Full API/integration technical documentation, including base URLs for sandbox and production environments.</w:t>
      </w:r>
    </w:p>
    <w:p>
      <w:pPr>
        <w:pStyle w:val="ListParagraph"/>
        <w:numPr>
          <w:ilvl w:val="0"/>
          <w:numId w:val="2"/>
        </w:numPr>
        <w:spacing w:after="100"/>
      </w:pPr>
      <w:r>
        <w:rPr>
          <w:sz w:val="22"/>
          <w:szCs w:val="22"/>
        </w:rPr>
        <w:t xml:space="preserve">Authentication method: API key, OAuth2 client credentials, IP whitelisting requirement, or another scheme, plus how credentials are provisioned and rotated.</w:t>
      </w:r>
    </w:p>
    <w:p>
      <w:pPr>
        <w:pStyle w:val="ListParagraph"/>
        <w:numPr>
          <w:ilvl w:val="0"/>
          <w:numId w:val="2"/>
        </w:numPr>
        <w:spacing w:after="100"/>
      </w:pPr>
      <w:r>
        <w:rPr>
          <w:sz w:val="22"/>
          <w:szCs w:val="22"/>
        </w:rPr>
        <w:t xml:space="preserve">Whether a sandbox/test environment is available separately from production, and how test tracking numbers are generated.</w:t>
      </w:r>
    </w:p>
    <w:p>
      <w:pPr>
        <w:pStyle w:val="ListParagraph"/>
        <w:numPr>
          <w:ilvl w:val="0"/>
          <w:numId w:val="2"/>
        </w:numPr>
        <w:spacing w:after="100"/>
      </w:pPr>
      <w:r>
        <w:rPr>
          <w:sz w:val="22"/>
          <w:szCs w:val="22"/>
        </w:rPr>
        <w:t xml:space="preserve">Exact request and response schema for the tracking endpoint, including all possible status codes/values and their meaning, so the canonical status-mapping table (Section 10) can be built accurately.</w:t>
      </w:r>
    </w:p>
    <w:p>
      <w:pPr>
        <w:pStyle w:val="ListParagraph"/>
        <w:numPr>
          <w:ilvl w:val="0"/>
          <w:numId w:val="2"/>
        </w:numPr>
        <w:spacing w:after="100"/>
      </w:pPr>
      <w:r>
        <w:rPr>
          <w:sz w:val="22"/>
          <w:szCs w:val="22"/>
        </w:rPr>
        <w:t xml:space="preserve">Rate limits and API quotas (requests per minute/day), and whether limits differ between sandbox and production.</w:t>
      </w:r>
    </w:p>
    <w:p>
      <w:pPr>
        <w:pStyle w:val="ListParagraph"/>
        <w:numPr>
          <w:ilvl w:val="0"/>
          <w:numId w:val="2"/>
        </w:numPr>
        <w:spacing w:after="100"/>
      </w:pPr>
      <w:r>
        <w:rPr>
          <w:sz w:val="22"/>
          <w:szCs w:val="22"/>
        </w:rPr>
        <w:t xml:space="preserve">Whether webhooks/push notifications are available for status changes, or whether polling is the only option — this materially changes the caching/refresh design in Section 12.</w:t>
      </w:r>
    </w:p>
    <w:p>
      <w:pPr>
        <w:pStyle w:val="ListParagraph"/>
        <w:numPr>
          <w:ilvl w:val="0"/>
          <w:numId w:val="2"/>
        </w:numPr>
        <w:spacing w:after="100"/>
      </w:pPr>
      <w:r>
        <w:rPr>
          <w:sz w:val="22"/>
          <w:szCs w:val="22"/>
        </w:rPr>
        <w:t xml:space="preserve">API pricing/commercial terms if the tracking API itself carries a per-call cost separate from the shipping/freight cost already being paid.</w:t>
      </w:r>
    </w:p>
    <w:p>
      <w:pPr>
        <w:pStyle w:val="ListParagraph"/>
        <w:numPr>
          <w:ilvl w:val="0"/>
          <w:numId w:val="2"/>
        </w:numPr>
        <w:spacing w:after="100"/>
      </w:pPr>
      <w:r>
        <w:rPr>
          <w:sz w:val="22"/>
          <w:szCs w:val="22"/>
        </w:rPr>
        <w:t xml:space="preserve">Any account or commercial agreement prerequisites to receive API access (e.g., minimum shipment volume, a signed API/data-sharing addendum to the existing shipping contract).</w:t>
      </w:r>
    </w:p>
    <w:p>
      <w:pPr>
        <w:pStyle w:val="ListParagraph"/>
        <w:numPr>
          <w:ilvl w:val="0"/>
          <w:numId w:val="2"/>
        </w:numPr>
        <w:spacing w:after="100"/>
      </w:pPr>
      <w:r>
        <w:rPr>
          <w:sz w:val="22"/>
          <w:szCs w:val="22"/>
        </w:rPr>
        <w:t xml:space="preserve">Published or informal API SLA (uptime commitment) and typical error-response format/behavior on failure or timeout.</w:t>
      </w:r>
    </w:p>
    <w:p>
      <w:pPr>
        <w:pStyle w:val="ListParagraph"/>
        <w:numPr>
          <w:ilvl w:val="0"/>
          <w:numId w:val="2"/>
        </w:numPr>
        <w:spacing w:after="100"/>
      </w:pPr>
      <w:r>
        <w:rPr>
          <w:sz w:val="22"/>
          <w:szCs w:val="22"/>
        </w:rPr>
        <w:t xml:space="preserve">Whether shipment creation (booking a pickup with ICL) can also be done via API, for a future phase where the client's own order flow could programmatically hand off to ICL instead of a manual/offline process.</w:t>
      </w:r>
    </w:p>
    <w:p>
      <w:pPr>
        <w:spacing w:after="160" w:line="276"/>
      </w:pPr>
      <w:r>
        <w:rPr>
          <w:sz w:val="22"/>
          <w:szCs w:val="22"/>
        </w:rPr>
        <w:t xml:space="preserve">Until these answers are in hand, the ICLAdapter should be built and tested against a hand-written stub that mimics a reasonable REST tracking response, so the rest of the platform is not blocked — this is exactly the value the Provider Adapter pattern is designed to deliver.</w:t>
      </w:r>
    </w:p>
    <w:p>
      <w:pPr>
        <w:pStyle w:val="Heading1"/>
        <w:spacing w:after="200" w:before="300"/>
      </w:pPr>
      <w:r>
        <w:t xml:space="preserve">32. Final Technology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sz w:val="20"/>
                <w:szCs w:val="20"/>
              </w:rPr>
              <w:t xml:space="preserve">Decision</w:t>
            </w:r>
          </w:p>
        </w:tc>
        <w:tc>
          <w:tcPr>
            <w:tcW w:type="dxa" w:w="4680"/>
            <w:shd w:fill="1F3864" w:val="clear"/>
          </w:tcPr>
          <w:p>
            <w:r>
              <w:rPr>
                <w:b/>
                <w:bCs/>
                <w:color w:val="FFFFFF"/>
                <w:sz w:val="20"/>
                <w:szCs w:val="20"/>
              </w:rPr>
              <w:t xml:space="preserve">Recommendation</w:t>
            </w:r>
          </w:p>
        </w:tc>
      </w:tr>
      <w:tr>
        <w:tc>
          <w:tcPr>
            <w:tcW w:type="dxa" w:w="4680"/>
            <w:shd w:fill="FFFFFF" w:val="clear"/>
          </w:tcPr>
          <w:p>
            <w:r>
              <w:rPr>
                <w:sz w:val="20"/>
                <w:szCs w:val="20"/>
              </w:rPr>
              <w:t xml:space="preserve">Frontend</w:t>
            </w:r>
          </w:p>
        </w:tc>
        <w:tc>
          <w:tcPr>
            <w:tcW w:type="dxa" w:w="4680"/>
            <w:shd w:fill="FFFFFF" w:val="clear"/>
          </w:tcPr>
          <w:p>
            <w:r>
              <w:rPr>
                <w:sz w:val="20"/>
                <w:szCs w:val="20"/>
              </w:rPr>
              <w:t xml:space="preserve">Next.js + TypeScript, hosted on Vercel</w:t>
            </w:r>
          </w:p>
        </w:tc>
      </w:tr>
      <w:tr>
        <w:tc>
          <w:tcPr>
            <w:tcW w:type="dxa" w:w="4680"/>
            <w:shd w:fill="F2F2F7" w:val="clear"/>
          </w:tcPr>
          <w:p>
            <w:r>
              <w:rPr>
                <w:sz w:val="20"/>
                <w:szCs w:val="20"/>
              </w:rPr>
              <w:t xml:space="preserve">Backend</w:t>
            </w:r>
          </w:p>
        </w:tc>
        <w:tc>
          <w:tcPr>
            <w:tcW w:type="dxa" w:w="4680"/>
            <w:shd w:fill="F2F2F7" w:val="clear"/>
          </w:tcPr>
          <w:p>
            <w:r>
              <w:rPr>
                <w:sz w:val="20"/>
                <w:szCs w:val="20"/>
              </w:rPr>
              <w:t xml:space="preserve">NestJS (Node.js + TypeScript), modular monolith</w:t>
            </w:r>
          </w:p>
        </w:tc>
      </w:tr>
      <w:tr>
        <w:tc>
          <w:tcPr>
            <w:tcW w:type="dxa" w:w="4680"/>
            <w:shd w:fill="FFFFFF" w:val="clear"/>
          </w:tcPr>
          <w:p>
            <w:r>
              <w:rPr>
                <w:sz w:val="20"/>
                <w:szCs w:val="20"/>
              </w:rPr>
              <w:t xml:space="preserve">Language</w:t>
            </w:r>
          </w:p>
        </w:tc>
        <w:tc>
          <w:tcPr>
            <w:tcW w:type="dxa" w:w="4680"/>
            <w:shd w:fill="FFFFFF" w:val="clear"/>
          </w:tcPr>
          <w:p>
            <w:r>
              <w:rPr>
                <w:sz w:val="20"/>
                <w:szCs w:val="20"/>
              </w:rPr>
              <w:t xml:space="preserve">TypeScript end-to-end (frontend + backend + shared types)</w:t>
            </w:r>
          </w:p>
        </w:tc>
      </w:tr>
      <w:tr>
        <w:tc>
          <w:tcPr>
            <w:tcW w:type="dxa" w:w="4680"/>
            <w:shd w:fill="F2F2F7" w:val="clear"/>
          </w:tcPr>
          <w:p>
            <w:r>
              <w:rPr>
                <w:sz w:val="20"/>
                <w:szCs w:val="20"/>
              </w:rPr>
              <w:t xml:space="preserve">Database</w:t>
            </w:r>
          </w:p>
        </w:tc>
        <w:tc>
          <w:tcPr>
            <w:tcW w:type="dxa" w:w="4680"/>
            <w:shd w:fill="F2F2F7" w:val="clear"/>
          </w:tcPr>
          <w:p>
            <w:r>
              <w:rPr>
                <w:sz w:val="20"/>
                <w:szCs w:val="20"/>
              </w:rPr>
              <w:t xml:space="preserve">PostgreSQL (managed)</w:t>
            </w:r>
          </w:p>
        </w:tc>
      </w:tr>
      <w:tr>
        <w:tc>
          <w:tcPr>
            <w:tcW w:type="dxa" w:w="4680"/>
            <w:shd w:fill="FFFFFF" w:val="clear"/>
          </w:tcPr>
          <w:p>
            <w:r>
              <w:rPr>
                <w:sz w:val="20"/>
                <w:szCs w:val="20"/>
              </w:rPr>
              <w:t xml:space="preserve">ORM</w:t>
            </w:r>
          </w:p>
        </w:tc>
        <w:tc>
          <w:tcPr>
            <w:tcW w:type="dxa" w:w="4680"/>
            <w:shd w:fill="FFFFFF" w:val="clear"/>
          </w:tcPr>
          <w:p>
            <w:r>
              <w:rPr>
                <w:sz w:val="20"/>
                <w:szCs w:val="20"/>
              </w:rPr>
              <w:t xml:space="preserve">Prisma</w:t>
            </w:r>
          </w:p>
        </w:tc>
      </w:tr>
      <w:tr>
        <w:tc>
          <w:tcPr>
            <w:tcW w:type="dxa" w:w="4680"/>
            <w:shd w:fill="F2F2F7" w:val="clear"/>
          </w:tcPr>
          <w:p>
            <w:r>
              <w:rPr>
                <w:sz w:val="20"/>
                <w:szCs w:val="20"/>
              </w:rPr>
              <w:t xml:space="preserve">Authentication</w:t>
            </w:r>
          </w:p>
        </w:tc>
        <w:tc>
          <w:tcPr>
            <w:tcW w:type="dxa" w:w="4680"/>
            <w:shd w:fill="F2F2F7" w:val="clear"/>
          </w:tcPr>
          <w:p>
            <w:r>
              <w:rPr>
                <w:sz w:val="20"/>
                <w:szCs w:val="20"/>
              </w:rPr>
              <w:t xml:space="preserve">JWT access/refresh tokens + RBAC (customer/staff/admin)</w:t>
            </w:r>
          </w:p>
        </w:tc>
      </w:tr>
      <w:tr>
        <w:tc>
          <w:tcPr>
            <w:tcW w:type="dxa" w:w="4680"/>
            <w:shd w:fill="FFFFFF" w:val="clear"/>
          </w:tcPr>
          <w:p>
            <w:r>
              <w:rPr>
                <w:sz w:val="20"/>
                <w:szCs w:val="20"/>
              </w:rPr>
              <w:t xml:space="preserve">API architecture</w:t>
            </w:r>
          </w:p>
        </w:tc>
        <w:tc>
          <w:tcPr>
            <w:tcW w:type="dxa" w:w="4680"/>
            <w:shd w:fill="FFFFFF" w:val="clear"/>
          </w:tcPr>
          <w:p>
            <w:r>
              <w:rPr>
                <w:sz w:val="20"/>
                <w:szCs w:val="20"/>
              </w:rPr>
              <w:t xml:space="preserve">Versioned REST (/api/v1), Provider Adapter pattern for shipping integrations</w:t>
            </w:r>
          </w:p>
        </w:tc>
      </w:tr>
      <w:tr>
        <w:tc>
          <w:tcPr>
            <w:tcW w:type="dxa" w:w="4680"/>
            <w:shd w:fill="F2F2F7" w:val="clear"/>
          </w:tcPr>
          <w:p>
            <w:r>
              <w:rPr>
                <w:sz w:val="20"/>
                <w:szCs w:val="20"/>
              </w:rPr>
              <w:t xml:space="preserve">ICL integration architecture</w:t>
            </w:r>
          </w:p>
        </w:tc>
        <w:tc>
          <w:tcPr>
            <w:tcW w:type="dxa" w:w="4680"/>
            <w:shd w:fill="F2F2F7" w:val="clear"/>
          </w:tcPr>
          <w:p>
            <w:r>
              <w:rPr>
                <w:sz w:val="20"/>
                <w:szCs w:val="20"/>
              </w:rPr>
              <w:t xml:space="preserve">ShippingProvider interface + ICLAdapter, format-agnostic (REST/SOAP/EDI-ready)</w:t>
            </w:r>
          </w:p>
        </w:tc>
      </w:tr>
      <w:tr>
        <w:tc>
          <w:tcPr>
            <w:tcW w:type="dxa" w:w="4680"/>
            <w:shd w:fill="FFFFFF" w:val="clear"/>
          </w:tcPr>
          <w:p>
            <w:r>
              <w:rPr>
                <w:sz w:val="20"/>
                <w:szCs w:val="20"/>
              </w:rPr>
              <w:t xml:space="preserve">Caching strategy</w:t>
            </w:r>
          </w:p>
        </w:tc>
        <w:tc>
          <w:tcPr>
            <w:tcW w:type="dxa" w:w="4680"/>
            <w:shd w:fill="FFFFFF" w:val="clear"/>
          </w:tcPr>
          <w:p>
            <w:r>
              <w:rPr>
                <w:sz w:val="20"/>
                <w:szCs w:val="20"/>
              </w:rPr>
              <w:t xml:space="preserve">Redis, cache-first tracking lookups with rule-based background refresh</w:t>
            </w:r>
          </w:p>
        </w:tc>
      </w:tr>
      <w:tr>
        <w:tc>
          <w:tcPr>
            <w:tcW w:type="dxa" w:w="4680"/>
            <w:shd w:fill="F2F2F7" w:val="clear"/>
          </w:tcPr>
          <w:p>
            <w:r>
              <w:rPr>
                <w:sz w:val="20"/>
                <w:szCs w:val="20"/>
              </w:rPr>
              <w:t xml:space="preserve">Hosting (starter/recommended)</w:t>
            </w:r>
          </w:p>
        </w:tc>
        <w:tc>
          <w:tcPr>
            <w:tcW w:type="dxa" w:w="4680"/>
            <w:shd w:fill="F2F2F7" w:val="clear"/>
          </w:tcPr>
          <w:p>
            <w:r>
              <w:rPr>
                <w:sz w:val="20"/>
                <w:szCs w:val="20"/>
              </w:rPr>
              <w:t xml:space="preserve">Render or Railway (backend/DB/Redis) + Vercel (frontend)</w:t>
            </w:r>
          </w:p>
        </w:tc>
      </w:tr>
      <w:tr>
        <w:tc>
          <w:tcPr>
            <w:tcW w:type="dxa" w:w="4680"/>
            <w:shd w:fill="FFFFFF" w:val="clear"/>
          </w:tcPr>
          <w:p>
            <w:r>
              <w:rPr>
                <w:sz w:val="20"/>
                <w:szCs w:val="20"/>
              </w:rPr>
              <w:t xml:space="preserve">Hosting (growth/enterprise)</w:t>
            </w:r>
          </w:p>
        </w:tc>
        <w:tc>
          <w:tcPr>
            <w:tcW w:type="dxa" w:w="4680"/>
            <w:shd w:fill="FFFFFF" w:val="clear"/>
          </w:tcPr>
          <w:p>
            <w:r>
              <w:rPr>
                <w:sz w:val="20"/>
                <w:szCs w:val="20"/>
              </w:rPr>
              <w:t xml:space="preserve">AWS: ECS Fargate, RDS Postgres, ElastiCache, S3+CloudFront</w:t>
            </w:r>
          </w:p>
        </w:tc>
      </w:tr>
      <w:tr>
        <w:tc>
          <w:tcPr>
            <w:tcW w:type="dxa" w:w="4680"/>
            <w:shd w:fill="F2F2F7" w:val="clear"/>
          </w:tcPr>
          <w:p>
            <w:r>
              <w:rPr>
                <w:sz w:val="20"/>
                <w:szCs w:val="20"/>
              </w:rPr>
              <w:t xml:space="preserve">Deployment/CI-CD</w:t>
            </w:r>
          </w:p>
        </w:tc>
        <w:tc>
          <w:tcPr>
            <w:tcW w:type="dxa" w:w="4680"/>
            <w:shd w:fill="F2F2F7" w:val="clear"/>
          </w:tcPr>
          <w:p>
            <w:r>
              <w:rPr>
                <w:sz w:val="20"/>
                <w:szCs w:val="20"/>
              </w:rPr>
              <w:t xml:space="preserve">GitHub Actions + Docker + automated Prisma migrations</w:t>
            </w:r>
          </w:p>
        </w:tc>
      </w:tr>
      <w:tr>
        <w:tc>
          <w:tcPr>
            <w:tcW w:type="dxa" w:w="4680"/>
            <w:shd w:fill="FFFFFF" w:val="clear"/>
          </w:tcPr>
          <w:p>
            <w:r>
              <w:rPr>
                <w:sz w:val="20"/>
                <w:szCs w:val="20"/>
              </w:rPr>
              <w:t xml:space="preserve">WhatsApp provider</w:t>
            </w:r>
          </w:p>
        </w:tc>
        <w:tc>
          <w:tcPr>
            <w:tcW w:type="dxa" w:w="4680"/>
            <w:shd w:fill="FFFFFF" w:val="clear"/>
          </w:tcPr>
          <w:p>
            <w:r>
              <w:rPr>
                <w:sz w:val="20"/>
                <w:szCs w:val="20"/>
              </w:rPr>
              <w:t xml:space="preserve">Meta WhatsApp Cloud API via an authorized BSP (AiSensy/Interakt/Gupshup)</w:t>
            </w:r>
          </w:p>
        </w:tc>
      </w:tr>
      <w:tr>
        <w:tc>
          <w:tcPr>
            <w:tcW w:type="dxa" w:w="4680"/>
            <w:shd w:fill="F2F2F7" w:val="clear"/>
          </w:tcPr>
          <w:p>
            <w:r>
              <w:rPr>
                <w:sz w:val="20"/>
                <w:szCs w:val="20"/>
              </w:rPr>
              <w:t xml:space="preserve">Call automation provider</w:t>
            </w:r>
          </w:p>
        </w:tc>
        <w:tc>
          <w:tcPr>
            <w:tcW w:type="dxa" w:w="4680"/>
            <w:shd w:fill="F2F2F7" w:val="clear"/>
          </w:tcPr>
          <w:p>
            <w:r>
              <w:rPr>
                <w:sz w:val="20"/>
                <w:szCs w:val="20"/>
              </w:rPr>
              <w:t xml:space="preserve">Exotel (India-first), Twilio Voice if/when expanding beyond India</w:t>
            </w:r>
          </w:p>
        </w:tc>
      </w:tr>
      <w:tr>
        <w:tc>
          <w:tcPr>
            <w:tcW w:type="dxa" w:w="4680"/>
            <w:shd w:fill="FFFFFF" w:val="clear"/>
          </w:tcPr>
          <w:p>
            <w:r>
              <w:rPr>
                <w:sz w:val="20"/>
                <w:szCs w:val="20"/>
              </w:rPr>
              <w:t xml:space="preserve">Monitoring</w:t>
            </w:r>
          </w:p>
        </w:tc>
        <w:tc>
          <w:tcPr>
            <w:tcW w:type="dxa" w:w="4680"/>
            <w:shd w:fill="FFFFFF" w:val="clear"/>
          </w:tcPr>
          <w:p>
            <w:r>
              <w:rPr>
                <w:sz w:val="20"/>
                <w:szCs w:val="20"/>
              </w:rPr>
              <w:t xml:space="preserve">Sentry (errors) + Better Stack (uptime/logs), upgrading to Grafana/Datadog at enterprise scale</w:t>
            </w:r>
          </w:p>
        </w:tc>
      </w:tr>
      <w:tr>
        <w:tc>
          <w:tcPr>
            <w:tcW w:type="dxa" w:w="4680"/>
            <w:shd w:fill="F2F2F7" w:val="clear"/>
          </w:tcPr>
          <w:p>
            <w:r>
              <w:rPr>
                <w:sz w:val="20"/>
                <w:szCs w:val="20"/>
              </w:rPr>
              <w:t xml:space="preserve">Backup strategy</w:t>
            </w:r>
          </w:p>
        </w:tc>
        <w:tc>
          <w:tcPr>
            <w:tcW w:type="dxa" w:w="4680"/>
            <w:shd w:fill="F2F2F7" w:val="clear"/>
          </w:tcPr>
          <w:p>
            <w:r>
              <w:rPr>
                <w:sz w:val="20"/>
                <w:szCs w:val="20"/>
              </w:rPr>
              <w:t xml:space="preserve">Daily snapshots + continuous PITR, weekly off-site copies, periodic restore drills</w:t>
            </w:r>
          </w:p>
        </w:tc>
      </w:tr>
      <w:tr>
        <w:tc>
          <w:tcPr>
            <w:tcW w:type="dxa" w:w="4680"/>
            <w:shd w:fill="FFFFFF" w:val="clear"/>
          </w:tcPr>
          <w:p>
            <w:r>
              <w:rPr>
                <w:sz w:val="20"/>
                <w:szCs w:val="20"/>
              </w:rPr>
              <w:t xml:space="preserve">Project structure</w:t>
            </w:r>
          </w:p>
        </w:tc>
        <w:tc>
          <w:tcPr>
            <w:tcW w:type="dxa" w:w="4680"/>
            <w:shd w:fill="FFFFFF" w:val="clear"/>
          </w:tcPr>
          <w:p>
            <w:r>
              <w:rPr>
                <w:sz w:val="20"/>
                <w:szCs w:val="20"/>
              </w:rPr>
              <w:t xml:space="preserve">Monorepo: /apps/frontend, /apps/backend, /packages/shared-types, /infrastructure, /docs, /tests</w:t>
            </w:r>
          </w:p>
        </w:tc>
      </w:tr>
    </w:tbl>
    <w:p>
      <w:pPr>
        <w:spacing w:after="200"/>
      </w:pPr>
      <w:r>
        <w:t xml:space="preserve"/>
      </w:r>
    </w:p>
    <w:p>
      <w:pPr>
        <w:spacing w:after="160" w:line="276"/>
      </w:pPr>
      <w:r>
        <w:rPr>
          <w:sz w:val="22"/>
          <w:szCs w:val="22"/>
        </w:rPr>
        <w:t xml:space="preserve">This recommendation deliberately optimizes for a small team shipping a real, secure, production-grade system quickly, while keeping every future-scaling and future-provider door open through the Provider Adapter pattern and modular monolith boundaries — rather than either under-building (a static site with a single hard-coded ICL call) or over-building (a microservices/Kubernetes platform the current business does not yet need).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NationWide — Shipping Platform Architecture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2026-07-21T13:04:00.208Z</dcterms:created>
  <dcterms:modified xsi:type="dcterms:W3CDTF">2026-07-21T13:04:00.222Z</dcterms:modified>
</cp:coreProperties>
</file>

<file path=docProps/custom.xml><?xml version="1.0" encoding="utf-8"?>
<Properties xmlns="http://schemas.openxmlformats.org/officeDocument/2006/custom-properties" xmlns:vt="http://schemas.openxmlformats.org/officeDocument/2006/docPropsVTypes"/>
</file>