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Setting up a centralized password management system. Lack of this has shown to slow down business operations. With this in place wait time on resetting passwords, for both employees and vendors, is significantly reduced. That ensures a smooth flow in operations. </w:t>
      </w:r>
    </w:p>
    <w:p w:rsidR="00000000" w:rsidDel="00000000" w:rsidP="00000000" w:rsidRDefault="00000000" w:rsidRPr="00000000" w14:paraId="0000007D">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policy needs to be improved. Requirements of a minimum of 15 characters, including a combination of letters, numbers and special characters, is a good start.</w:t>
      </w:r>
    </w:p>
    <w:p w:rsidR="00000000" w:rsidDel="00000000" w:rsidP="00000000" w:rsidRDefault="00000000" w:rsidRPr="00000000" w14:paraId="0000007E">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There should be Multifactor Authentication (MFA) in place. Depending on what best works for the business, the second factor of authentication can be email or a trusted Authenticator app.</w:t>
      </w:r>
    </w:p>
    <w:p w:rsidR="00000000" w:rsidDel="00000000" w:rsidP="00000000" w:rsidRDefault="00000000" w:rsidRPr="00000000" w14:paraId="0000007F">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Have backups of critical data in place. This ensures the business does not fall over in the event of an attack. It is useful for business continuity. </w:t>
      </w:r>
    </w:p>
    <w:p w:rsidR="00000000" w:rsidDel="00000000" w:rsidP="00000000" w:rsidRDefault="00000000" w:rsidRPr="00000000" w14:paraId="00000080">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 up Identity Access Management (IAM) system for implementing access controls towards least privilege and separation of duties.</w:t>
      </w:r>
    </w:p>
    <w:p w:rsidR="00000000" w:rsidDel="00000000" w:rsidP="00000000" w:rsidRDefault="00000000" w:rsidRPr="00000000" w14:paraId="00000081">
      <w:pPr>
        <w:numPr>
          <w:ilvl w:val="0"/>
          <w:numId w:val="21"/>
        </w:numPr>
        <w:spacing w:after="0" w:afterAutospacing="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Install an IDS like Splunk for monitoring.</w:t>
      </w:r>
    </w:p>
    <w:p w:rsidR="00000000" w:rsidDel="00000000" w:rsidP="00000000" w:rsidRDefault="00000000" w:rsidRPr="00000000" w14:paraId="00000082">
      <w:pPr>
        <w:numPr>
          <w:ilvl w:val="0"/>
          <w:numId w:val="21"/>
        </w:numPr>
        <w:spacing w:after="20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Encryption algorithms from the SHA2 family can be used for encryption of customer PII/SPII</w:t>
      </w:r>
    </w:p>
    <w:p w:rsidR="00000000" w:rsidDel="00000000" w:rsidP="00000000" w:rsidRDefault="00000000" w:rsidRPr="00000000" w14:paraId="00000083">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