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&amp; Testing for HealthTech UK | ClickMasters
META DESC: QA &amp; Testing for UK HealthTech. DTAC. £8,000–£55,000.
SLUG: /healthtech-qa-testing/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HealthTech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HealthTech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QA &amp; Testing for HealthTech</w:t>
      </w:r>
    </w:p>
    <w:p>
      <w:pPr>
        <w:spacing w:after="60" w:before="60"/>
      </w:pPr>
    </w:p>
    <w:p>
      <w:pPr>
        <w:pStyle w:val="Heading1"/>
        <w:spacing w:after="160" w:before="360"/>
      </w:pPr>
      <w:r>
        <w:rPr>
          <w:rFonts w:ascii="Arial" w:cs="Arial" w:eastAsia="Arial" w:hAnsi="Arial"/>
          <w:b/>
          <w:bCs/>
          <w:color w:val="0B1F3A"/>
          <w:sz w:val="40"/>
          <w:szCs w:val="40"/>
        </w:rPr>
        <w:t xml:space="preserve">QA &amp; Testing for UK HealthTech — DTAC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HealthTech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DTAC</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£8,000–£55,000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QA &amp; Testing for UK HealthTech businesses with DTAC,  NHS DSP Toolkit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QA &amp; Testing for HealthTech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IEC 62304 Automated Testing Requirements: </w:t>
      </w:r>
      <w:r>
        <w:rPr>
          <w:rFonts w:ascii="Arial" w:cs="Arial" w:eastAsia="Arial" w:hAnsi="Arial"/>
          <w:b w:val="false"/>
          <w:bCs w:val="false"/>
          <w:i w:val="false"/>
          <w:iCs w:val="false"/>
          <w:color w:val="1A2332"/>
          <w:sz w:val="22"/>
          <w:szCs w:val="22"/>
        </w:rPr>
        <w:t xml:space="preserve">IEC 62304 Medical Device Software Lifecycle requires test documentation as part of the Design History File (DHF). Software of Unknown Provenance (SOUP) testing: third-party libraries must be tested to confirm they behave as expected in the medical device context. Unit testing coverage: IEC 62304 Class C software (highest safety classification) requires statement coverage evidence. ClickMasters implements: Jest unit tests with Istanbul coverage reporting (PDF evidence), SOUP library test suite, and automated test run report in CI/CD.</w:t>
      </w:r>
    </w:p>
    <w:p>
      <w:pPr>
        <w:spacing w:after="60" w:before="60"/>
      </w:pPr>
    </w:p>
    <w:p>
      <w:pPr>
        <w:spacing w:after="160" w:before="100"/>
      </w:pPr>
      <w:r>
        <w:rPr>
          <w:rFonts w:ascii="Arial" w:cs="Arial" w:eastAsia="Arial" w:hAnsi="Arial"/>
          <w:b/>
          <w:bCs/>
          <w:i w:val="false"/>
          <w:iCs w:val="false"/>
          <w:color w:val="E8612A"/>
          <w:sz w:val="22"/>
          <w:szCs w:val="22"/>
        </w:rPr>
        <w:t xml:space="preserve">NHS DTAC Domain 5 Usability Testing: </w:t>
      </w:r>
      <w:r>
        <w:rPr>
          <w:rFonts w:ascii="Arial" w:cs="Arial" w:eastAsia="Arial" w:hAnsi="Arial"/>
          <w:b w:val="false"/>
          <w:bCs w:val="false"/>
          <w:i w:val="false"/>
          <w:iCs w:val="false"/>
          <w:color w:val="1A2332"/>
          <w:sz w:val="22"/>
          <w:szCs w:val="22"/>
        </w:rPr>
        <w:t xml:space="preserve">DTAC Domain 5 (Usability and Accessibility): user research evidence required, not just WCAG 2.1 AA automated testing. ClickMasters DTAC usability testing: axe-core automated testing (integrated in CI/CD — zero accessibility failures gate production deployment), NVDA screen reader manual testing (representative clinical scenarios), cognitive walkthrough (clinical staff task completion testing — not UX designers), and Mobile accessibility (NHS clinicians use tablets and phones extensively).</w:t>
      </w:r>
    </w:p>
    <w:p>
      <w:pPr>
        <w:spacing w:after="60" w:before="60"/>
      </w:pPr>
    </w:p>
    <w:p>
      <w:pPr>
        <w:spacing w:after="160" w:before="100"/>
      </w:pPr>
      <w:r>
        <w:rPr>
          <w:rFonts w:ascii="Arial" w:cs="Arial" w:eastAsia="Arial" w:hAnsi="Arial"/>
          <w:b/>
          <w:bCs/>
          <w:i w:val="false"/>
          <w:iCs w:val="false"/>
          <w:color w:val="E8612A"/>
          <w:sz w:val="22"/>
          <w:szCs w:val="22"/>
        </w:rPr>
        <w:t xml:space="preserve">NHS FHIR R4 Contract Testing: </w:t>
      </w:r>
      <w:r>
        <w:rPr>
          <w:rFonts w:ascii="Arial" w:cs="Arial" w:eastAsia="Arial" w:hAnsi="Arial"/>
          <w:b w:val="false"/>
          <w:bCs w:val="false"/>
          <w:i w:val="false"/>
          <w:iCs w:val="false"/>
          <w:color w:val="1A2332"/>
          <w:sz w:val="22"/>
          <w:szCs w:val="22"/>
        </w:rPr>
        <w:t xml:space="preserve">FHIR R4 contract testing: API consumer (the HealthTech application) and API provider (NHS Spine, FHIR server) must agree on the contract (the API shape). Consumer-driven contract testing (Pact): HealthTech application defines what it expects from the FHIR API → Pact generates a contract → NHS FHIR server verified against the contract. This catches breaking FHIR API changes before they reach production. UK Core profile validation: HAPI FHIR validator integrated in CI/CD — all FHIR resources validated against UK Core profiles before acceptance.</w:t>
      </w:r>
    </w:p>
    <w:p>
      <w:pPr>
        <w:spacing w:after="60" w:before="60"/>
      </w:pPr>
    </w:p>
    <w:p>
      <w:pPr>
        <w:spacing w:after="160" w:before="100"/>
      </w:pPr>
      <w:r>
        <w:rPr>
          <w:rFonts w:ascii="Arial" w:cs="Arial" w:eastAsia="Arial" w:hAnsi="Arial"/>
          <w:b/>
          <w:bCs/>
          <w:i w:val="false"/>
          <w:iCs w:val="false"/>
          <w:color w:val="E8612A"/>
          <w:sz w:val="22"/>
          <w:szCs w:val="22"/>
        </w:rPr>
        <w:t xml:space="preserve">HealthTech Performance Testing — NHS Clinical Load Scenarios: </w:t>
      </w:r>
      <w:r>
        <w:rPr>
          <w:rFonts w:ascii="Arial" w:cs="Arial" w:eastAsia="Arial" w:hAnsi="Arial"/>
          <w:b w:val="false"/>
          <w:bCs w:val="false"/>
          <w:i w:val="false"/>
          <w:iCs w:val="false"/>
          <w:color w:val="1A2332"/>
          <w:sz w:val="22"/>
          <w:szCs w:val="22"/>
        </w:rPr>
        <w:t xml:space="preserve">NHS clinical systems peak loads: morning ward round (08:00–10:00, all ward staff accessing simultaneously), shift handover (07:00/19:00 for 24-hour wards), and outpatient clinic start (09:00 — all appointment slots accessed). k6 load testing: simulate concurrent clinical users at peak loads (parameterised per deployment — small GP practice vs large acute trust). SLA targets: p95 response time &lt; 2 seconds for clinical workflow actions. NHS DTAC Domain 3: performance testing evidence required for high-volume clinical systems.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DTAC, NHS DSP Toolkit, UK GDPR Article 9, DCB0129, WCAG 2.1 AA, MHRA, IEC 62304</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QA &amp; Testing</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£8,000–£55,000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generate IEC 62304 test evidence in CI/CD?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IEC 62304 test evidence from CI/CD: GitHub Actions run log (timestamped, immutable) = evidence of automated test execution. Jest unit test report (JSON/HTML) with Istanbul coverage metrics = statement coverage evidence. HAPI FHIR validator report = UK Core profile compliance evidence. OWASP Dependency Check + Dependabot report = SOUP CVE evidence. Playwright E2E test report with screenshots = functional verification evidence. ClickMasters packages all CI/CD test artefacts into a DHF evidence bundle per release.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accessibility testing is needed for NHS DTAC?</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DTAC Domain 5 minimum: WCAG 2.1 AA automated testing (axe-core — zero critical or serious failures). Recommended for NHS App Library: manual screen reader testing (NVDA on Windows, VoiceOver on iOS), keyboard navigation testing (all clinical workflows completable without mouse), and colour contrast manual verification (automated tools miss some contrast failures). ClickMasters runs full DTAC accessibility test suite before any DTAC submission — zero failures is a requirement.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HealthTech Software Development UK: /healthtech-software-development/</w:t>
      </w:r>
    </w:p>
    <w:p>
      <w:pPr>
        <w:pStyle w:val="ListParagraph"/>
        <w:numPr>
          <w:ilvl w:val="0"/>
          <w:numId w:val="2"/>
        </w:numPr>
        <w:spacing w:after="60" w:before="60"/>
      </w:pPr>
      <w:r>
        <w:rPr>
          <w:rFonts w:ascii="Arial" w:cs="Arial" w:eastAsia="Arial" w:hAnsi="Arial"/>
          <w:color w:val="1A4A8A"/>
          <w:sz w:val="22"/>
          <w:szCs w:val="22"/>
        </w:rPr>
        <w:t xml:space="preserve">QA &amp; Testing UK: /qa-testing/</w:t>
      </w:r>
    </w:p>
    <w:p>
      <w:pPr>
        <w:pStyle w:val="ListParagraph"/>
        <w:numPr>
          <w:ilvl w:val="0"/>
          <w:numId w:val="2"/>
        </w:numPr>
        <w:spacing w:after="60" w:before="60"/>
      </w:pPr>
      <w:r>
        <w:rPr>
          <w:rFonts w:ascii="Arial" w:cs="Arial" w:eastAsia="Arial" w:hAnsi="Arial"/>
          <w:color w:val="1A4A8A"/>
          <w:sz w:val="22"/>
          <w:szCs w:val="22"/>
        </w:rPr>
        <w:t xml:space="preserve">DTAC Compliance Guide UK: /dtac-compliance-guide/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HealthTech QA &amp; Testing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HealthTech Team</w:t>
            </w:r>
          </w:p>
          <w:p>
            <w:pPr>
              <w:spacing w:after="80" w:before="0"/>
            </w:pPr>
            <w:r>
              <w:rPr>
                <w:rFonts w:ascii="Arial" w:cs="Arial" w:eastAsia="Arial" w:hAnsi="Arial"/>
                <w:b/>
                <w:bCs/>
                <w:color w:val="E8612A"/>
                <w:sz w:val="20"/>
                <w:szCs w:val="20"/>
              </w:rPr>
              <w:t xml:space="preserve">HealthTech specialists</w:t>
            </w:r>
          </w:p>
          <w:p>
            <w:pPr>
              <w:spacing w:after="0" w:before="0"/>
            </w:pPr>
            <w:r>
              <w:rPr>
                <w:rFonts w:ascii="Arial" w:cs="Arial" w:eastAsia="Arial" w:hAnsi="Arial"/>
                <w:color w:val="1A2332"/>
                <w:sz w:val="20"/>
                <w:szCs w:val="20"/>
              </w:rPr>
              <w:t xml:space="preserve">Delivering QA &amp; Testing for UK HealthTech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"healthtech qa testing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2026-05-29T13:26:38.317Z</dcterms:created>
  <dcterms:modified xsi:type="dcterms:W3CDTF">2026-05-29T13:26:38.317Z</dcterms:modified>
</cp:coreProperties>
</file>

<file path=docProps/custom.xml><?xml version="1.0" encoding="utf-8"?>
<Properties xmlns="http://schemas.openxmlformats.org/officeDocument/2006/custom-properties" xmlns:vt="http://schemas.openxmlformats.org/officeDocument/2006/docPropsVTypes"/>
</file>