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EdTech UK | ClickMasters
META DESC: Legacy Modernisation for UK EdTech. ICO AADC. £25,000–£120,000.
SLUG: /edtech-legacy-modernisation/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EdTech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EdTech — ICO AADC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 AADC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£25,000–£120,000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EdTech businesses with ICO AADC,  UK GDPR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EdTech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EdTech Legacy Platform Migration — Common Patterns: </w:t>
      </w:r>
      <w:r>
        <w:rPr>
          <w:rFonts w:ascii="Arial" w:cs="Arial" w:eastAsia="Arial" w:hAnsi="Arial"/>
          <w:b w:val="false"/>
          <w:bCs w:val="false"/>
          <w:i w:val="false"/>
          <w:iCs w:val="false"/>
          <w:color w:val="1A2332"/>
          <w:sz w:val="22"/>
          <w:szCs w:val="22"/>
        </w:rPr>
        <w:t xml:space="preserve">UK EdTech legacy platforms commonly encountered: Moodle (PHP — older installations, plugin debt, performance issues), Drupal 7 (EoL — no security patches since November 2023), Joomla, custom PHP applications from 2008–2015, and legacy .NET Framework 4.x (Windows Server). Migration pattern: ICO AADC compliance audit first (many legacy EdTech systems were built before AADC — non-compliant from day one), then technical migration (React + Node.js from PHP/Drupal), then PSBAR accessibility remediation.</w:t>
      </w:r>
    </w:p>
    <w:p>
      <w:pPr>
        <w:spacing w:after="60" w:before="60"/>
      </w:pPr>
    </w:p>
    <w:p>
      <w:pPr>
        <w:spacing w:after="160" w:before="100"/>
      </w:pPr>
      <w:r>
        <w:rPr>
          <w:rFonts w:ascii="Arial" w:cs="Arial" w:eastAsia="Arial" w:hAnsi="Arial"/>
          <w:b/>
          <w:bCs/>
          <w:i w:val="false"/>
          <w:iCs w:val="false"/>
          <w:color w:val="E8612A"/>
          <w:sz w:val="22"/>
          <w:szCs w:val="22"/>
        </w:rPr>
        <w:t xml:space="preserve">ICO AADC Compliance in Legacy EdTech Migration: </w:t>
      </w:r>
      <w:r>
        <w:rPr>
          <w:rFonts w:ascii="Arial" w:cs="Arial" w:eastAsia="Arial" w:hAnsi="Arial"/>
          <w:b w:val="false"/>
          <w:bCs w:val="false"/>
          <w:i w:val="false"/>
          <w:iCs w:val="false"/>
          <w:color w:val="1A2332"/>
          <w:sz w:val="22"/>
          <w:szCs w:val="22"/>
        </w:rPr>
        <w:t xml:space="preserve">ICO Age Appropriate Design Code: legacy EdTech systems frequently have: no age verification, tracking cookies without AADC-standard consent, data sharing with third-party analytics (Google Analytics on school platforms — AADC non-compliant), and excessive data collection. Legacy migration = AADC compliance opportunity: remove third-party tracking, implement AADC-standard consent architecture, review data retention (many legacy EdTech platforms have no data deletion for departed students).</w:t>
      </w:r>
    </w:p>
    <w:p>
      <w:pPr>
        <w:spacing w:after="60" w:before="60"/>
      </w:pPr>
    </w:p>
    <w:p>
      <w:pPr>
        <w:spacing w:after="160" w:before="100"/>
      </w:pPr>
      <w:r>
        <w:rPr>
          <w:rFonts w:ascii="Arial" w:cs="Arial" w:eastAsia="Arial" w:hAnsi="Arial"/>
          <w:b/>
          <w:bCs/>
          <w:i w:val="false"/>
          <w:iCs w:val="false"/>
          <w:color w:val="E8612A"/>
          <w:sz w:val="22"/>
          <w:szCs w:val="22"/>
        </w:rPr>
        <w:t xml:space="preserve">School MIS Migration and Data Transfer: </w:t>
      </w:r>
      <w:r>
        <w:rPr>
          <w:rFonts w:ascii="Arial" w:cs="Arial" w:eastAsia="Arial" w:hAnsi="Arial"/>
          <w:b w:val="false"/>
          <w:bCs w:val="false"/>
          <w:i w:val="false"/>
          <w:iCs w:val="false"/>
          <w:color w:val="1A2332"/>
          <w:sz w:val="22"/>
          <w:szCs w:val="22"/>
        </w:rPr>
        <w:t xml:space="preserve">Legacy EdTech systems with SIMS integration (SIMS .NET — legacy MIS): migration challenge is that SIMS .NET API is being deprecated in favour of Bromcom/Arbor REST APIs. EdTech legacy migration must account for: MIS API migration (from SIMS .NET to Bromcom/Arbor REST), student data migration (full academic history — sensitive, GDPR Article 9 for SEND data), and parental consent migration (consent records must be transferred or reconsented).</w:t>
      </w:r>
    </w:p>
    <w:p>
      <w:pPr>
        <w:spacing w:after="60" w:before="60"/>
      </w:pPr>
    </w:p>
    <w:p>
      <w:pPr>
        <w:spacing w:after="160" w:before="100"/>
      </w:pPr>
      <w:r>
        <w:rPr>
          <w:rFonts w:ascii="Arial" w:cs="Arial" w:eastAsia="Arial" w:hAnsi="Arial"/>
          <w:b/>
          <w:bCs/>
          <w:i w:val="false"/>
          <w:iCs w:val="false"/>
          <w:color w:val="E8612A"/>
          <w:sz w:val="22"/>
          <w:szCs w:val="22"/>
        </w:rPr>
        <w:t xml:space="preserve">PSBAR Accessibility Remediation in EdTech Migration: </w:t>
      </w:r>
      <w:r>
        <w:rPr>
          <w:rFonts w:ascii="Arial" w:cs="Arial" w:eastAsia="Arial" w:hAnsi="Arial"/>
          <w:b w:val="false"/>
          <w:bCs w:val="false"/>
          <w:i w:val="false"/>
          <w:iCs w:val="false"/>
          <w:color w:val="1A2332"/>
          <w:sz w:val="22"/>
          <w:szCs w:val="22"/>
        </w:rPr>
        <w:t xml:space="preserve">PSBAR (Public Sector Bodies Accessibility Regulations 2018): applies to all EdTech used by publicly funded schools. Legacy EdTech systems are frequently WCAG 2.1 A non-compliant (not even AA). Migration approach: build new EdTech platform to WCAG 2.1 AA from Sprint 1 — do not attempt to fix legacy PSBAR compliance (rarely worth the effort vs rebuild). Accessibility statement: mandatory under PSBAR — ClickMasters produces PSBAR-compliant accessibility statement as part of every EdTech migration.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ICO AADC, UK GDPR, DfE standards, PSBAR accessibility, school MIS APIs,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£25,000–£120,000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biggest compliance risk in EdTech legacy migration?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AADC data transfer: migrating personal data about children from a legacy system to a new system is a new processing activity requiring a legal basis review. UK GDPR Article 6 basis for EdTech: legitimate interests (school's legitimate interest in providing educational services) or contract performance (for direct student-facing products). Children's data migration: ICO recommends data minimisation — only migrate the data the new system actually needs. Data that served no function in the legacy system should not be migrated.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an EdTech legacy platform migration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EdTech legacy migration timeline: discovery and AADC compliance audit (2–3 weeks), architecture design and MIS API strategy (1–2 weeks), build new platform (8–16 weeks depending on scope), data migration testing (2–3 weeks), PSBAR accessibility testing and remediation (1–2 weeks), school acceptance testing and soft launch (2–3 weeks). Total: 16–26 weeks. ClickMasters conducts Technical Discovery (£3,500–£8,000) before any commitment to timeline.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Development UK: /edtech-software-development/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ICO AADC Children Code Guide: /ico-aadc-childrens-code-guide/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EdTech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specialists</w:t>
            </w:r>
          </w:p>
          <w:p>
            <w:pPr>
              <w:spacing w:after="0" w:before="0"/>
            </w:pPr>
            <w:r>
              <w:rPr>
                <w:rFonts w:ascii="Arial" w:cs="Arial" w:eastAsia="Arial" w:hAnsi="Arial"/>
                <w:color w:val="1A2332"/>
                <w:sz w:val="20"/>
                <w:szCs w:val="20"/>
              </w:rPr>
              <w:t xml:space="preserve">Delivering Legacy Modernisation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"edtech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2026-05-29T13:55:11.586Z</dcterms:created>
  <dcterms:modified xsi:type="dcterms:W3CDTF">2026-05-29T13:55:11.586Z</dcterms:modified>
</cp:coreProperties>
</file>

<file path=docProps/custom.xml><?xml version="1.0" encoding="utf-8"?>
<Properties xmlns="http://schemas.openxmlformats.org/officeDocument/2006/custom-properties" xmlns:vt="http://schemas.openxmlformats.org/officeDocument/2006/docPropsVTypes"/>
</file>