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DevOps &amp; CI/CD for HealthTech UK | ClickMasters
META DESC: DevOps &amp; CI/CD for UK HealthTech. MHRA. £8,000–£55,000.
SLUG: /healthtech-devops-cicd/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October 2025  |  Reading time: 9 min  |  Written by: ClickMasters HealthTech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HealthTech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DevOps &amp; CI/CD for HealthTech</w:t>
      </w:r>
    </w:p>
    <w:p>
      <w:pPr>
        <w:spacing w:after="60" w:before="60"/>
      </w:pPr>
    </w:p>
    <w:p>
      <w:pPr>
        <w:pStyle w:val="Heading1"/>
        <w:spacing w:after="160" w:before="360"/>
      </w:pPr>
      <w:r>
        <w:rPr>
          <w:rFonts w:ascii="Arial" w:cs="Arial" w:eastAsia="Arial" w:hAnsi="Arial"/>
          <w:b/>
          <w:bCs/>
          <w:color w:val="0B1F3A"/>
          <w:sz w:val="40"/>
          <w:szCs w:val="40"/>
        </w:rPr>
        <w:t xml:space="preserve">DevOps &amp; CI/CD for UK HealthTech — MHRA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HealthTech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MHRA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£8,000–£55,000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DevOps &amp; CI/CD for UK HealthTech businesses with MHRA,  NHS DTAC Domain 3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DevOps &amp; CI/CD for HealthTech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NHS DTAC Domain 3 CI/CD Requirements: </w:t>
      </w:r>
      <w:r>
        <w:rPr>
          <w:rFonts w:ascii="Arial" w:cs="Arial" w:eastAsia="Arial" w:hAnsi="Arial"/>
          <w:b w:val="false"/>
          <w:bCs w:val="false"/>
          <w:i w:val="false"/>
          <w:iCs w:val="false"/>
          <w:color w:val="1A2332"/>
          <w:sz w:val="22"/>
          <w:szCs w:val="22"/>
        </w:rPr>
        <w:t xml:space="preserve">DTAC Domain 3 (Technical Security): automated testing evidence, security scanning, and deployment controls. CI/CD for DTAC Domain 3: (1) automated test suite (80%+ coverage, run on every PR), (2) OWASP ZAP DAST scan on every release, (3) Trivy container scan (zero critical CVEs before deployment), (4) branch protection (two reviewers required for production merge), (5) deployment audit trail (GitHub Actions run history — who deployed, when, what changed). DTAC assessors specifically look for evidence that production deployments are controlled and tested.</w:t>
      </w:r>
    </w:p>
    <w:p>
      <w:pPr>
        <w:spacing w:after="60" w:before="60"/>
      </w:pPr>
    </w:p>
    <w:p>
      <w:pPr>
        <w:spacing w:after="160" w:before="100"/>
      </w:pPr>
      <w:r>
        <w:rPr>
          <w:rFonts w:ascii="Arial" w:cs="Arial" w:eastAsia="Arial" w:hAnsi="Arial"/>
          <w:b/>
          <w:bCs/>
          <w:i w:val="false"/>
          <w:iCs w:val="false"/>
          <w:color w:val="E8612A"/>
          <w:sz w:val="22"/>
          <w:szCs w:val="22"/>
        </w:rPr>
        <w:t xml:space="preserve">NHS DSP Toolkit Standard 7 — DevOps Logging: </w:t>
      </w:r>
      <w:r>
        <w:rPr>
          <w:rFonts w:ascii="Arial" w:cs="Arial" w:eastAsia="Arial" w:hAnsi="Arial"/>
          <w:b w:val="false"/>
          <w:bCs w:val="false"/>
          <w:i w:val="false"/>
          <w:iCs w:val="false"/>
          <w:color w:val="1A2332"/>
          <w:sz w:val="22"/>
          <w:szCs w:val="22"/>
        </w:rPr>
        <w:t xml:space="preserve">NHS DSP Toolkit Standard 7 (Data Storage and Transmission): all access to patient personal data must be logged and retained for 6 years. DevOps implementation: CloudWatch Logs with 7-year retention configured (slightly above DSPT minimum for all-regulation compliance), CloudTrail for all AWS API activity, application-level audit log (user ID, action, patient record accessed, timestamp), and GuardDuty for anomalous access detection. ClickMasters configures DSPT Standard 7-compliant logging as standard in all NHS DevOps builds.</w:t>
      </w:r>
    </w:p>
    <w:p>
      <w:pPr>
        <w:spacing w:after="60" w:before="60"/>
      </w:pPr>
    </w:p>
    <w:p>
      <w:pPr>
        <w:spacing w:after="160" w:before="100"/>
      </w:pPr>
      <w:r>
        <w:rPr>
          <w:rFonts w:ascii="Arial" w:cs="Arial" w:eastAsia="Arial" w:hAnsi="Arial"/>
          <w:b/>
          <w:bCs/>
          <w:i w:val="false"/>
          <w:iCs w:val="false"/>
          <w:color w:val="E8612A"/>
          <w:sz w:val="22"/>
          <w:szCs w:val="22"/>
        </w:rPr>
        <w:t xml:space="preserve">DCB0129 Change Management in NHS CI/CD: </w:t>
      </w:r>
      <w:r>
        <w:rPr>
          <w:rFonts w:ascii="Arial" w:cs="Arial" w:eastAsia="Arial" w:hAnsi="Arial"/>
          <w:b w:val="false"/>
          <w:bCs w:val="false"/>
          <w:i w:val="false"/>
          <w:iCs w:val="false"/>
          <w:color w:val="1A2332"/>
          <w:sz w:val="22"/>
          <w:szCs w:val="22"/>
        </w:rPr>
        <w:t xml:space="preserve">DCB0129 requires that software changes are assessed for clinical safety impact before deployment. CI/CD integration: (1) every pull request must include a clinical safety impact assessment (template in PR description — "does this change affect a hazard in the hazard log?"), (2) changes assessed as clinical safety relevant require CSO (Clinical Safety Officer) approval before merge, (3) all deployments to production logged with clinical safety impact assessment outcome. Audit trail: GitHub PR history serves as DCB0129 change control record — linked to hazard log.</w:t>
      </w:r>
    </w:p>
    <w:p>
      <w:pPr>
        <w:spacing w:after="60" w:before="60"/>
      </w:pPr>
    </w:p>
    <w:p>
      <w:pPr>
        <w:spacing w:after="160" w:before="100"/>
      </w:pPr>
      <w:r>
        <w:rPr>
          <w:rFonts w:ascii="Arial" w:cs="Arial" w:eastAsia="Arial" w:hAnsi="Arial"/>
          <w:b/>
          <w:bCs/>
          <w:i w:val="false"/>
          <w:iCs w:val="false"/>
          <w:color w:val="E8612A"/>
          <w:sz w:val="22"/>
          <w:szCs w:val="22"/>
        </w:rPr>
        <w:t xml:space="preserve">IEC 62304 Software Maintenance and CI/CD: </w:t>
      </w:r>
      <w:r>
        <w:rPr>
          <w:rFonts w:ascii="Arial" w:cs="Arial" w:eastAsia="Arial" w:hAnsi="Arial"/>
          <w:b w:val="false"/>
          <w:bCs w:val="false"/>
          <w:i w:val="false"/>
          <w:iCs w:val="false"/>
          <w:color w:val="1A2332"/>
          <w:sz w:val="22"/>
          <w:szCs w:val="22"/>
        </w:rPr>
        <w:t xml:space="preserve">IEC 62304 software maintenance: changes to medical device software must go through the software change control process. CI/CD for IEC 62304: each sprint creates a new software version (IEC 62304 version increment), sprint artefacts (requirements, test reports, architecture updates) stored in Design History File (DHF). GitHub release tags link CI/CD run artefacts to DHF entries. ClickMasters configures IEC 62304-compliant CI/CD for all MHRA SaMD applications — DHF automation reduces documentation overhead by 60%.</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MHRA, NHS DTAC Domain 3, DCB0129, NHS DSP Toolkit, UK GDPR Article 9, Cyber Essentials Plus, ISO 27001</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HealthTech DevOps &amp; CI/CD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£8,000–£55,000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CI/CD configuration does NHS DTAC Domain 3 require?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DTAC Domain 3 CI/CD minimum requirements: automated test suite (run on every PR), security scanning (OWASP ZAP + Dependabot), branch protection (required reviews), deployment audit trail (immutable CI/CD run logs), and rollback procedure (documented and tested quarterly). ClickMasters standard GitHub Actions configuration satisfies all DTAC Domain 3 requirements and produces an evidence pack (test reports, security scan results, deployment logs) as CI/CD artefacts — ready for DTAC assessment.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IEC 62304 allow continuous delivery for medical device software?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IEC 62304 is compatible with agile and continuous delivery. The key: each deployment is a new software version with documented change control, clinical safety impact assessment, and test evidence. IEC 62304 does not require sequential waterfall releases — it requires that the software lifecycle process is followed for each change. ClickMasters has achieved DTAC approval and MHRA Class IIa registration for medical device software using two-week sprint cycles with continuous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HealthTech Software Development UK: /healthtech-software-development/</w:t>
      </w:r>
    </w:p>
    <w:p>
      <w:pPr>
        <w:pStyle w:val="ListParagraph"/>
        <w:numPr>
          <w:ilvl w:val="0"/>
          <w:numId w:val="2"/>
        </w:numPr>
        <w:spacing w:after="60" w:before="60"/>
      </w:pPr>
      <w:r>
        <w:rPr>
          <w:rFonts w:ascii="Arial" w:cs="Arial" w:eastAsia="Arial" w:hAnsi="Arial"/>
          <w:color w:val="1A4A8A"/>
          <w:sz w:val="22"/>
          <w:szCs w:val="22"/>
        </w:rPr>
        <w:t xml:space="preserve">DevOps &amp; CI/CD UK: /devops-cicd/</w:t>
      </w:r>
    </w:p>
    <w:p>
      <w:pPr>
        <w:pStyle w:val="ListParagraph"/>
        <w:numPr>
          <w:ilvl w:val="0"/>
          <w:numId w:val="2"/>
        </w:numPr>
        <w:spacing w:after="60" w:before="60"/>
      </w:pPr>
      <w:r>
        <w:rPr>
          <w:rFonts w:ascii="Arial" w:cs="Arial" w:eastAsia="Arial" w:hAnsi="Arial"/>
          <w:color w:val="1A4A8A"/>
          <w:sz w:val="22"/>
          <w:szCs w:val="22"/>
        </w:rPr>
        <w:t xml:space="preserve">DTAC Compliance Guide UK: /dtac-compliance-guide/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HealthTech DevOps &amp; CI/CD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HealthTech Team</w:t>
            </w:r>
          </w:p>
          <w:p>
            <w:pPr>
              <w:spacing w:after="80" w:before="0"/>
            </w:pPr>
            <w:r>
              <w:rPr>
                <w:rFonts w:ascii="Arial" w:cs="Arial" w:eastAsia="Arial" w:hAnsi="Arial"/>
                <w:b/>
                <w:bCs/>
                <w:color w:val="E8612A"/>
                <w:sz w:val="20"/>
                <w:szCs w:val="20"/>
              </w:rPr>
              <w:t xml:space="preserve">HealthTech specialists</w:t>
            </w:r>
          </w:p>
          <w:p>
            <w:pPr>
              <w:spacing w:after="0" w:before="0"/>
            </w:pPr>
            <w:r>
              <w:rPr>
                <w:rFonts w:ascii="Arial" w:cs="Arial" w:eastAsia="Arial" w:hAnsi="Arial"/>
                <w:color w:val="1A2332"/>
                <w:sz w:val="20"/>
                <w:szCs w:val="20"/>
              </w:rPr>
              <w:t xml:space="preserve">Delivering DevOps &amp; CI/CD for UK HealthTech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"healthtech devops cicd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2026-06-01T13:16:54.358Z</dcterms:created>
  <dcterms:modified xsi:type="dcterms:W3CDTF">2026-06-01T13:16:54.358Z</dcterms:modified>
</cp:coreProperties>
</file>

<file path=docProps/custom.xml><?xml version="1.0" encoding="utf-8"?>
<Properties xmlns="http://schemas.openxmlformats.org/officeDocument/2006/custom-properties" xmlns:vt="http://schemas.openxmlformats.org/officeDocument/2006/docPropsVTypes"/>
</file>