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for HealthTech Companies UK | ClickMasters
META DESC: MVP Development specialists for UK HealthTech businesses. DTAC-aware. £35,000–£80,000. Free consultation.
SLUG: /healthtech-mvp-development/
SCHEMA: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HealthTech &amp; MVP Development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 Development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for HealthTech</w:t>
      </w:r>
    </w:p>
    <w:p>
      <w:pPr>
        <w:spacing w:after="60" w:before="60"/>
      </w:pPr>
    </w:p>
    <w:p>
      <w:pPr>
        <w:pStyle w:val="Heading1"/>
        <w:spacing w:after="160" w:before="360"/>
      </w:pPr>
      <w:r>
        <w:rPr>
          <w:rFonts w:ascii="Arial" w:cs="Arial" w:eastAsia="Arial" w:hAnsi="Arial"/>
          <w:b/>
          <w:bCs/>
          <w:color w:val="0B1F3A"/>
          <w:sz w:val="40"/>
          <w:szCs w:val="40"/>
        </w:rPr>
        <w:t xml:space="preserve">MVP Development for UK HealthTech Companies — DTAC-aware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DTAC-aware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specifically for UK HealthTech businesses — with DTAC-aware,  NHS Digital compliance built into every project from the architecture phase. Unlike generic software agencies, our HealthTech specialist team understands the regulatory requirements, the data architecture constraints, and the specific integration needs of UK HealthTech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MVP Development for HealthTech Means in the UK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HealthTech MVP Development in the UK has specific requirements beyond standard MVP Development. Here is what ClickMasters builds into every HealthTech MVP Development engagement:</w:t>
      </w:r>
    </w:p>
    <w:p>
      <w:pPr>
        <w:spacing w:after="60" w:before="60"/>
      </w:pPr>
    </w:p>
    <w:p>
      <w:pPr>
        <w:spacing w:after="160" w:before="100"/>
      </w:pPr>
      <w:r>
        <w:rPr>
          <w:rFonts w:ascii="Arial" w:cs="Arial" w:eastAsia="Arial" w:hAnsi="Arial"/>
          <w:b/>
          <w:bCs/>
          <w:i w:val="false"/>
          <w:iCs w:val="false"/>
          <w:color w:val="E8612A"/>
          <w:sz w:val="22"/>
          <w:szCs w:val="22"/>
        </w:rPr>
        <w:t xml:space="preserve">DTAC-Aware Architecture: </w:t>
      </w:r>
      <w:r>
        <w:rPr>
          <w:rFonts w:ascii="Arial" w:cs="Arial" w:eastAsia="Arial" w:hAnsi="Arial"/>
          <w:b w:val="false"/>
          <w:bCs w:val="false"/>
          <w:i w:val="false"/>
          <w:iCs w:val="false"/>
          <w:color w:val="1A2332"/>
          <w:sz w:val="22"/>
          <w:szCs w:val="22"/>
        </w:rPr>
        <w:t xml:space="preserve">Design the MVP with all 5 DTAC domains in mind from day one. Adding compliance retrospectively to a health app is expensive and often requires architectural rebuilding.</w:t>
      </w:r>
    </w:p>
    <w:p>
      <w:pPr>
        <w:spacing w:after="60" w:before="60"/>
      </w:pPr>
    </w:p>
    <w:p>
      <w:pPr>
        <w:spacing w:after="160" w:before="100"/>
      </w:pPr>
      <w:r>
        <w:rPr>
          <w:rFonts w:ascii="Arial" w:cs="Arial" w:eastAsia="Arial" w:hAnsi="Arial"/>
          <w:b/>
          <w:bCs/>
          <w:i w:val="false"/>
          <w:iCs w:val="false"/>
          <w:color w:val="E8612A"/>
          <w:sz w:val="22"/>
          <w:szCs w:val="22"/>
        </w:rPr>
        <w:t xml:space="preserve">Clinical Safety Officer Early: </w:t>
      </w:r>
      <w:r>
        <w:rPr>
          <w:rFonts w:ascii="Arial" w:cs="Arial" w:eastAsia="Arial" w:hAnsi="Arial"/>
          <w:b w:val="false"/>
          <w:bCs w:val="false"/>
          <w:i w:val="false"/>
          <w:iCs w:val="false"/>
          <w:color w:val="1A2332"/>
          <w:sz w:val="22"/>
          <w:szCs w:val="22"/>
        </w:rPr>
        <w:t xml:space="preserve">If DCB0129 applies, engage a Clinical Safety Officer before development begins — not after. The CSO must review the hazard log as features are designed.</w:t>
      </w:r>
    </w:p>
    <w:p>
      <w:pPr>
        <w:spacing w:after="60" w:before="60"/>
      </w:pPr>
    </w:p>
    <w:p>
      <w:pPr>
        <w:spacing w:after="160" w:before="100"/>
      </w:pPr>
      <w:r>
        <w:rPr>
          <w:rFonts w:ascii="Arial" w:cs="Arial" w:eastAsia="Arial" w:hAnsi="Arial"/>
          <w:b/>
          <w:bCs/>
          <w:i w:val="false"/>
          <w:iCs w:val="false"/>
          <w:color w:val="E8612A"/>
          <w:sz w:val="22"/>
          <w:szCs w:val="22"/>
        </w:rPr>
        <w:t xml:space="preserve">NHS Login Integration: </w:t>
      </w:r>
      <w:r>
        <w:rPr>
          <w:rFonts w:ascii="Arial" w:cs="Arial" w:eastAsia="Arial" w:hAnsi="Arial"/>
          <w:b w:val="false"/>
          <w:bCs w:val="false"/>
          <w:i w:val="false"/>
          <w:iCs w:val="false"/>
          <w:color w:val="1A2332"/>
          <w:sz w:val="22"/>
          <w:szCs w:val="22"/>
        </w:rPr>
        <w:t xml:space="preserve">Patient-facing HealthTech MVPs typically need NHS Login (P5 or P9). NHS Digital supplier agreement takes 4–8 weeks — start this process at Discovery.</w:t>
      </w:r>
    </w:p>
    <w:p>
      <w:pPr>
        <w:spacing w:after="60" w:before="60"/>
      </w:pPr>
    </w:p>
    <w:p>
      <w:pPr>
        <w:spacing w:after="160" w:before="100"/>
      </w:pPr>
      <w:r>
        <w:rPr>
          <w:rFonts w:ascii="Arial" w:cs="Arial" w:eastAsia="Arial" w:hAnsi="Arial"/>
          <w:b/>
          <w:bCs/>
          <w:i w:val="false"/>
          <w:iCs w:val="false"/>
          <w:color w:val="E8612A"/>
          <w:sz w:val="22"/>
          <w:szCs w:val="22"/>
        </w:rPr>
        <w:t xml:space="preserve">NICE ESF Evidence Planning: </w:t>
      </w:r>
      <w:r>
        <w:rPr>
          <w:rFonts w:ascii="Arial" w:cs="Arial" w:eastAsia="Arial" w:hAnsi="Arial"/>
          <w:b w:val="false"/>
          <w:bCs w:val="false"/>
          <w:i w:val="false"/>
          <w:iCs w:val="false"/>
          <w:color w:val="1A2332"/>
          <w:sz w:val="22"/>
          <w:szCs w:val="22"/>
        </w:rPr>
        <w:t xml:space="preserve">Even at MVP stage, plan how you will gather the evidence required for NICE Evidence Standards Framework compliance for NHS App Library listing.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built in: DTAC-aware, NHS Digital, UK GDPR Article 9, DCB0129</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for HealthTech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MVP Development Project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MVP Development with DTAC-aware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 fixed-price proposal for HealthTech project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MVP Development support 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DTAC-aware MVP?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DTAC-aware MVP is built with all 5 DTAC compliance domains considered in the architecture — even if not all are fully implemented at MVP stage. This means: clinical safety risk assessment, data architecture that can implement NHS GDPR requirements, security architecture consistent with Cyber Essentials Plus, FHIR R4 data model used for any health data, and accessible UI from the start.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 HealthTech MVP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HealthTech MVP without NHS integration: £25,000–£45,000. With NHS Login and GP Connect: £40,000–£70,000. DTAC-ready at MVP stage: £45,000–£80,000. DTAC compliance adds approximately 20–40% to standard MVP costs due to clinical safety, security testing, and compliance documentation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MVP Development UK (full service page): /mvp-development/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DTAC-aware Compliance Guide: /dtac-compliance-guide/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HealthTech MVP Development — Free Consultation</w:t>
            </w:r>
          </w:p>
          <w:p>
            <w:pPr>
              <w:spacing w:after="160" w:before="0"/>
            </w:pPr>
            <w:r>
              <w:rPr>
                <w:rFonts w:ascii="Arial" w:cs="Arial" w:eastAsia="Arial" w:hAnsi="Arial"/>
                <w:color w:val="BDD0E8"/>
                <w:sz w:val="22"/>
                <w:szCs w:val="22"/>
              </w:rPr>
              <w:t xml:space="preserve">Free 45-minute consultation with a HealthTech specialist.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MVP Development Team</w:t>
            </w:r>
          </w:p>
          <w:p>
            <w:pPr>
              <w:spacing w:after="80" w:before="0"/>
            </w:pPr>
            <w:r>
              <w:rPr>
                <w:rFonts w:ascii="Arial" w:cs="Arial" w:eastAsia="Arial" w:hAnsi="Arial"/>
                <w:b/>
                <w:bCs/>
                <w:color w:val="E8612A"/>
                <w:sz w:val="20"/>
                <w:szCs w:val="20"/>
              </w:rPr>
              <w:t xml:space="preserve">HealthTech software specialists — DTAC-aware,  NHS Digital</w:t>
            </w:r>
          </w:p>
          <w:p>
            <w:pPr>
              <w:spacing w:after="0" w:before="0"/>
            </w:pPr>
            <w:r>
              <w:rPr>
                <w:rFonts w:ascii="Arial" w:cs="Arial" w:eastAsia="Arial" w:hAnsi="Arial"/>
                <w:color w:val="1A2332"/>
                <w:sz w:val="20"/>
                <w:szCs w:val="20"/>
              </w:rPr>
              <w:t xml:space="preserve">ClickMasters has delivered MVP Development for UK HealthTech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"healthtech mvp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2026-05-21T11:47:14.489Z</dcterms:created>
  <dcterms:modified xsi:type="dcterms:W3CDTF">2026-05-21T11:47:14.489Z</dcterms:modified>
</cp:coreProperties>
</file>

<file path=docProps/custom.xml><?xml version="1.0" encoding="utf-8"?>
<Properties xmlns="http://schemas.openxmlformats.org/officeDocument/2006/custom-properties" xmlns:vt="http://schemas.openxmlformats.org/officeDocument/2006/docPropsVTypes"/>
</file>