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SaaS Development for MedTech UK | ClickMasters
META DESC: SaaS Development for UK MedTech. MHRA SaMD. GBP40,000--GBP180,000.
SLUG: /medtech-saas-development-medtech/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MedTech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MedTech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SaaS Development for MedTech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MedTech --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MHRA SaMD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GBP40,000--GBP180,000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SaaS Development for UK MedTech with MHRA SaMD,  UKCA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MedTech -- UK Specifics</w:t>
            </w:r>
          </w:p>
        </w:tc>
      </w:tr>
    </w:tbl>
    <w:p>
      <w:pPr>
        <w:spacing w:after="60" w:before="60"/>
      </w:pPr>
    </w:p>
    <w:p>
      <w:pPr>
        <w:spacing w:after="160" w:before="100"/>
      </w:pPr>
      <w:r>
        <w:rPr>
          <w:rFonts w:ascii="Arial" w:cs="Arial" w:eastAsia="Arial" w:hAnsi="Arial"/>
          <w:b/>
          <w:bCs/>
          <w:color w:val="E8612A"/>
          <w:sz w:val="22"/>
          <w:szCs w:val="22"/>
        </w:rPr>
        <w:t xml:space="preserve">UK MedTech SaaS Market 2026: </w:t>
      </w:r>
      <w:r>
        <w:rPr>
          <w:rFonts w:ascii="Arial" w:cs="Arial" w:eastAsia="Arial" w:hAnsi="Arial"/>
          <w:b w:val="false"/>
          <w:bCs w:val="false"/>
          <w:color w:val="1A2332"/>
          <w:sz w:val="22"/>
          <w:szCs w:val="22"/>
        </w:rPr>
        <w:t xml:space="preserve">UK MedTech SaaS in 2026 is shaped by three regulatory catalysts: (1) MHRA Software as a Medical Device (SaMD) regulatory guidance (MHRA expects software meeting medical device definition to be UKCA-marked), (2) NHS DTAC (Digital Technology Assessment Criteria -- all software procured by NHS must pass 5-domain assessment), (3) NICE ESF (Evidence Standards Framework -- NHS procurement increasingly requires Tier 3b clinical evidence for AI clinical decision support). UK MedTech SaaS business models: (a) NHS Trust licensed SaaS (per-trust annual licence -- GBP20,000-GBP100,000/trust), (b) NHS Framework Agreement (Crown Commercial Service G-Cloud 14 or NHS National Framework -- procurement simplified), (c) US market entry (UK UKCA certification -- CE marking mutual recognition lost post-Brexit -- requires separate FDA 510(k) for US).</w:t>
      </w:r>
    </w:p>
    <w:p>
      <w:pPr>
        <w:spacing w:after="60" w:before="60"/>
      </w:pPr>
    </w:p>
    <w:p>
      <w:pPr>
        <w:spacing w:after="160" w:before="100"/>
      </w:pPr>
      <w:r>
        <w:rPr>
          <w:rFonts w:ascii="Arial" w:cs="Arial" w:eastAsia="Arial" w:hAnsi="Arial"/>
          <w:b/>
          <w:bCs/>
          <w:color w:val="E8612A"/>
          <w:sz w:val="22"/>
          <w:szCs w:val="22"/>
        </w:rPr>
        <w:t xml:space="preserve">MHRA SaMD Classification for MedTech SaaS: </w:t>
      </w:r>
      <w:r>
        <w:rPr>
          <w:rFonts w:ascii="Arial" w:cs="Arial" w:eastAsia="Arial" w:hAnsi="Arial"/>
          <w:b w:val="false"/>
          <w:bCs w:val="false"/>
          <w:color w:val="1A2332"/>
          <w:sz w:val="22"/>
          <w:szCs w:val="22"/>
        </w:rPr>
        <w:t xml:space="preserve">MHRA SaMD classification decision tree: (1) Does the software influence clinical decisions or treatment? If yes, it is SaMD. (2) Is it intended for a specific medical purpose (diagnosis, monitoring, prediction, treatment)? If yes, continue. (3) Risk class: Class I (low risk -- information, administrative), Class IIa (moderate risk -- aids clinical decision), Class IIb (higher risk -- performs clinical analysis), Class III (high risk -- life-supporting). UK post-Brexit classification: UK uses MHRA MDR 2002 (amended) -- similar to EU MDR 2017 but UKCA marking (not CE). Notified Body: MHRA-designated UK Notified Bodies (BSI Assurance UK, SGS, Intertek). MHRA registration: all MedTech SaaS must register on MHRA DESH (Device Establishment and Service Helpdesk).</w:t>
      </w:r>
    </w:p>
    <w:p>
      <w:pPr>
        <w:spacing w:after="60" w:before="60"/>
      </w:pPr>
    </w:p>
    <w:p>
      <w:pPr>
        <w:spacing w:after="160" w:before="100"/>
      </w:pPr>
      <w:r>
        <w:rPr>
          <w:rFonts w:ascii="Arial" w:cs="Arial" w:eastAsia="Arial" w:hAnsi="Arial"/>
          <w:b/>
          <w:bCs/>
          <w:color w:val="E8612A"/>
          <w:sz w:val="22"/>
          <w:szCs w:val="22"/>
        </w:rPr>
        <w:t xml:space="preserve">NHS DTAC for MedTech SaaS: </w:t>
      </w:r>
      <w:r>
        <w:rPr>
          <w:rFonts w:ascii="Arial" w:cs="Arial" w:eastAsia="Arial" w:hAnsi="Arial"/>
          <w:b w:val="false"/>
          <w:bCs w:val="false"/>
          <w:color w:val="1A2332"/>
          <w:sz w:val="22"/>
          <w:szCs w:val="22"/>
        </w:rPr>
        <w:t xml:space="preserve">NHS DTAC all 5 domains are required for any MedTech SaaS procured by NHS. Domain 4 (Clinical Safety) for MedTech: DCB0129 (clinical safety standard for health software) requires: (1) clinical safety officer (CSO) appointment (qualified clinician), (2) hazard log (identify all hazards associated with software use), (3) safety case (argument that risks are reduced to as low as reasonably practicable -- ALARP), (4) clinical safety management plan. DCB0129 vs MHRA SaMD: software can be DTAC compliant (DCB0129) without being MHRA Class IIa/IIb (UKCA) -- DCB0129 applies to all health software, MHRA SaMD regulation applies only to software meeting medical device definition. ClickMasters practice: complete DCB0129 for all NHS software, determine MHRA SaMD classification separately.</w:t>
      </w:r>
    </w:p>
    <w:p>
      <w:pPr>
        <w:spacing w:after="60" w:before="60"/>
      </w:pPr>
    </w:p>
    <w:p>
      <w:pPr>
        <w:spacing w:after="160" w:before="100"/>
      </w:pPr>
      <w:r>
        <w:rPr>
          <w:rFonts w:ascii="Arial" w:cs="Arial" w:eastAsia="Arial" w:hAnsi="Arial"/>
          <w:b/>
          <w:bCs/>
          <w:color w:val="E8612A"/>
          <w:sz w:val="22"/>
          <w:szCs w:val="22"/>
        </w:rPr>
        <w:t xml:space="preserve">NICE ESF Tier 3b Evidence for MedTech AI: </w:t>
      </w:r>
      <w:r>
        <w:rPr>
          <w:rFonts w:ascii="Arial" w:cs="Arial" w:eastAsia="Arial" w:hAnsi="Arial"/>
          <w:b w:val="false"/>
          <w:bCs w:val="false"/>
          <w:color w:val="1A2332"/>
          <w:sz w:val="22"/>
          <w:szCs w:val="22"/>
        </w:rPr>
        <w:t xml:space="preserve">NICE Evidence Standards Framework Tier 3b: AI clinical decision support using algorithmically-generated outputs. Evidence requirements: (1) clinical validation (prospective study -- randomised controlled trial or well-designed cohort), (2) economic evaluation (cost per QALY, cost per outcome), (3) real-world data plan (ongoing monitoring post-deployment), (4) equalities evidence (performance across demographic subgroups), (5) service readiness (implementation support -- training, change management). NICE ESF is not yet mandatory but NHS England procurement increasingly expects Tier 3b evidence for AI clinical tools. ClickMasters NICE ESF support: study design, statistical analysis plan, health economic model. Typical cost: GBP30,000-GBP80,000 for full NICE ESF Tier 3b evidence package.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MHRA SaMD, UKCA, IEC 62304, ISO 14971, DCB0129, NHS DTAC, NICE ESF, UK GDPR Article 9</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MedTech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GBP40,000--GBP180,000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MedTech SaaS development cost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MedTech SaaS costs: (1) Class I SaMD (low risk -- decision support with low clinical impact): GBP40,000-GBP80,000 (20-30 weeks). (2) Class IIa SaMD (aids clinical decision -- UKCA required): GBP80,000-GBP140,000 (30-42 weeks) plus MHRA Notified Body fee (GBP8,000-GBP25,000). (3) Class IIb SaMD (performs clinical analysis -- UKCA + clinical investigation): GBP120,000-GBP200,000+ (40-60 weeks) plus MHRA costs. (4) NHS DTAC (mandatory for NHS procurement): GBP8,000-GBP25,000 additional (pen test, assessor, legal). (5) NICE ESF Tier 3b evidence (if required): GBP30,000-GBP80,000 additional. Full UK MedTech SaaS to NHS-ready: GBP100,000-GBP300,000 depending on risk class.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MedTech SaaS always need MHRA registration?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MHRA SaMD registration: required if software meets medical device definition. Not required if: (1) general wellbeing software (no medical purpose -- step counter, meditation app), (2) administrative software (appointment booking, patient admin -- no clinical decision support), (3) clinical communication tools (messaging between clinicians -- MHRA guidance: communication tools without clinical algorithms are not SaMD). ClickMasters MedTech regulatory scoping: free 1-hour call to determine whether your software requires MHRA SaMD registration. This question is often answered incorrectly by non-specialist developers -- both over-classifying (treating administrative software as SaMD) and under-classifying (treating clinical AI as administrative software) are common errors.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MedTech Software UK: /medtech-software-development/</w:t>
      </w:r>
    </w:p>
    <w:p>
      <w:pPr>
        <w:pStyle w:val="ListParagraph"/>
        <w:numPr>
          <w:ilvl w:val="0"/>
          <w:numId w:val="2"/>
        </w:numPr>
        <w:spacing w:after="60" w:before="60"/>
      </w:pPr>
      <w:r>
        <w:rPr>
          <w:rFonts w:ascii="Arial" w:cs="Arial" w:eastAsia="Arial" w:hAnsi="Arial"/>
          <w:color w:val="1A4A8A"/>
          <w:sz w:val="22"/>
          <w:szCs w:val="22"/>
        </w:rPr>
        <w:t xml:space="preserve">HealthTech Software UK: /healthtech-software-development/</w:t>
      </w:r>
    </w:p>
    <w:p>
      <w:pPr>
        <w:pStyle w:val="ListParagraph"/>
        <w:numPr>
          <w:ilvl w:val="0"/>
          <w:numId w:val="2"/>
        </w:numPr>
        <w:spacing w:after="60" w:before="60"/>
      </w:pPr>
      <w:r>
        <w:rPr>
          <w:rFonts w:ascii="Arial" w:cs="Arial" w:eastAsia="Arial" w:hAnsi="Arial"/>
          <w:color w:val="1A4A8A"/>
          <w:sz w:val="22"/>
          <w:szCs w:val="22"/>
        </w:rPr>
        <w:t xml:space="preserve">UK NHS Digital Guide: /uk-nhs-digital-development-guide/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MedTech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MedTech Team</w:t>
            </w:r>
          </w:p>
          <w:p>
            <w:pPr>
              <w:spacing w:after="80" w:before="0"/>
            </w:pPr>
            <w:r>
              <w:rPr>
                <w:rFonts w:ascii="Arial" w:cs="Arial" w:eastAsia="Arial" w:hAnsi="Arial"/>
                <w:b/>
                <w:bCs/>
                <w:color w:val="E8612A"/>
                <w:sz w:val="20"/>
                <w:szCs w:val="20"/>
              </w:rPr>
              <w:t xml:space="preserve">MedTech specialists</w:t>
            </w:r>
          </w:p>
          <w:p>
            <w:pPr>
              <w:spacing w:after="0" w:before="0"/>
            </w:pPr>
            <w:r>
              <w:rPr>
                <w:rFonts w:ascii="Arial" w:cs="Arial" w:eastAsia="Arial" w:hAnsi="Arial"/>
                <w:color w:val="1A2332"/>
                <w:sz w:val="20"/>
                <w:szCs w:val="20"/>
              </w:rPr>
              <w:t xml:space="preserve">Delivering SaaS Development for UK MedTech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medtech saas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2026-06-08T11:07:31.325Z</dcterms:created>
  <dcterms:modified xsi:type="dcterms:W3CDTF">2026-06-08T11:07:31.325Z</dcterms:modified>
</cp:coreProperties>
</file>

<file path=docProps/custom.xml><?xml version="1.0" encoding="utf-8"?>
<Properties xmlns="http://schemas.openxmlformats.org/officeDocument/2006/custom-properties" xmlns:vt="http://schemas.openxmlformats.org/officeDocument/2006/docPropsVTypes"/>
</file>