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LegalTech UK | ClickMasters
META DESC: Staff Augmentation for UK LegalTech. IR35. from £5,500/month.
SLUG: /legaltech-staff-augmentation/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LegalTech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LegalTech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LegalTech — IR35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LegalTech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LegalTech businesses with IR35,  SRA compliance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LegalTech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LegalTech-Specific Engineer Vetting: </w:t>
      </w:r>
      <w:r>
        <w:rPr>
          <w:rFonts w:ascii="Arial" w:cs="Arial" w:eastAsia="Arial" w:hAnsi="Arial"/>
          <w:b w:val="false"/>
          <w:bCs w:val="false"/>
          <w:i w:val="false"/>
          <w:iCs w:val="false"/>
          <w:color w:val="1A2332"/>
          <w:sz w:val="22"/>
          <w:szCs w:val="22"/>
        </w:rPr>
        <w:t xml:space="preserve">LegalTech staff augmentation requires developers with specific awareness: Legal Professional Privilege (LPP) data architecture (privilege tags, SAR screening, access controls), AML for law firms (MLRs 2017, POCA 2002 tipping-off awareness), SRA accounts rules (client money handling), and document management systems (iManage, NetDocuments). ClickMasters vets LegalTech augmentation engineers against these specific requirements.</w:t>
      </w:r>
    </w:p>
    <w:p>
      <w:pPr>
        <w:spacing w:after="60" w:before="60"/>
      </w:pPr>
    </w:p>
    <w:p>
      <w:pPr>
        <w:spacing w:after="160" w:before="100"/>
      </w:pPr>
      <w:r>
        <w:rPr>
          <w:rFonts w:ascii="Arial" w:cs="Arial" w:eastAsia="Arial" w:hAnsi="Arial"/>
          <w:b/>
          <w:bCs/>
          <w:i w:val="false"/>
          <w:iCs w:val="false"/>
          <w:color w:val="E8612A"/>
          <w:sz w:val="22"/>
          <w:szCs w:val="22"/>
        </w:rPr>
        <w:t xml:space="preserve">LPP Security Architecture Knowledge: </w:t>
      </w:r>
      <w:r>
        <w:rPr>
          <w:rFonts w:ascii="Arial" w:cs="Arial" w:eastAsia="Arial" w:hAnsi="Arial"/>
          <w:b w:val="false"/>
          <w:bCs w:val="false"/>
          <w:i w:val="false"/>
          <w:iCs w:val="false"/>
          <w:color w:val="1A2332"/>
          <w:sz w:val="22"/>
          <w:szCs w:val="22"/>
        </w:rPr>
        <w:t xml:space="preserve">Engineers working on LegalTech systems must understand that Legal Professional Privilege creates specific security requirements: privileged documents require higher access control than non-privileged, SAR responses must be screened for LPP before disclosure, and system logs containing case details may themselves attract LPP. Engineers who do not understand LPP can inadvertently create architecture that violates it.</w:t>
      </w:r>
    </w:p>
    <w:p>
      <w:pPr>
        <w:spacing w:after="60" w:before="60"/>
      </w:pPr>
    </w:p>
    <w:p>
      <w:pPr>
        <w:spacing w:after="160" w:before="100"/>
      </w:pPr>
      <w:r>
        <w:rPr>
          <w:rFonts w:ascii="Arial" w:cs="Arial" w:eastAsia="Arial" w:hAnsi="Arial"/>
          <w:b/>
          <w:bCs/>
          <w:i w:val="false"/>
          <w:iCs w:val="false"/>
          <w:color w:val="E8612A"/>
          <w:sz w:val="22"/>
          <w:szCs w:val="22"/>
        </w:rPr>
        <w:t xml:space="preserve">SRA Compliance Technical Awareness: </w:t>
      </w:r>
      <w:r>
        <w:rPr>
          <w:rFonts w:ascii="Arial" w:cs="Arial" w:eastAsia="Arial" w:hAnsi="Arial"/>
          <w:b w:val="false"/>
          <w:bCs w:val="false"/>
          <w:i w:val="false"/>
          <w:iCs w:val="false"/>
          <w:color w:val="1A2332"/>
          <w:sz w:val="22"/>
          <w:szCs w:val="22"/>
        </w:rPr>
        <w:t xml:space="preserve">SRA Code of Conduct requires law firms to use technology appropriately. Engineers augmenting law firm technology teams must understand: SRA accounts rules (no commingling of client and office money in system design), conflict check system requirements, and matter record retention requirements (SRA requires 6–15 years depending on matter type).</w:t>
      </w:r>
    </w:p>
    <w:p>
      <w:pPr>
        <w:spacing w:after="60" w:before="60"/>
      </w:pPr>
    </w:p>
    <w:p>
      <w:pPr>
        <w:spacing w:after="160" w:before="100"/>
      </w:pPr>
      <w:r>
        <w:rPr>
          <w:rFonts w:ascii="Arial" w:cs="Arial" w:eastAsia="Arial" w:hAnsi="Arial"/>
          <w:b/>
          <w:bCs/>
          <w:i w:val="false"/>
          <w:iCs w:val="false"/>
          <w:color w:val="E8612A"/>
          <w:sz w:val="22"/>
          <w:szCs w:val="22"/>
        </w:rPr>
        <w:t xml:space="preserve">IR35 Zero Liability for Law Firm Clients: </w:t>
      </w:r>
      <w:r>
        <w:rPr>
          <w:rFonts w:ascii="Arial" w:cs="Arial" w:eastAsia="Arial" w:hAnsi="Arial"/>
          <w:b w:val="false"/>
          <w:bCs w:val="false"/>
          <w:i w:val="false"/>
          <w:iCs w:val="false"/>
          <w:color w:val="1A2332"/>
          <w:sz w:val="22"/>
          <w:szCs w:val="22"/>
        </w:rPr>
        <w:t xml:space="preserve">Law firms as medium/large businesses are responsible for IR35 determinations. ClickMasters employment model eliminates this entirely — our engineers are our employees, zero IR35 liability for law firm clients. One monthly invoice. No Status Determination Statement (SDS) required — particularly valuable for law firms' professional liability environment.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IR35, SRA compliance, Legal Professional Privilege, AML (MLRs 2017),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LegalTech experience do your staff augmentation engineers have?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LegalTech engineers have experience with: document management systems (iManage, NetDocuments), Legal Professional Privilege data architecture, case management system integration, AML/KYC workflows for law firms, HMLR/HMRC API integration for conveyancing, and time recording/billing integration.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your LegalTech engineers work on-site at law firms?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can work on-site at law firm offices. Law firm on-site requirements (security badges, background checks, data handling protocols) can be accommodated. Our engineers are ClickMasters employees — no IR35 complications for law firm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LegalTech Software Development UK: /legaltech-software-development/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LegalTech Staff Augmentation</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Team</w:t>
            </w:r>
          </w:p>
          <w:p>
            <w:pPr>
              <w:spacing w:after="80" w:before="0"/>
            </w:pPr>
            <w:r>
              <w:rPr>
                <w:rFonts w:ascii="Arial" w:cs="Arial" w:eastAsia="Arial" w:hAnsi="Arial"/>
                <w:b/>
                <w:bCs/>
                <w:color w:val="E8612A"/>
                <w:sz w:val="20"/>
                <w:szCs w:val="20"/>
              </w:rPr>
              <w:t xml:space="preserve">LegalTech software specialists</w:t>
            </w:r>
          </w:p>
          <w:p>
            <w:pPr>
              <w:spacing w:after="0" w:before="0"/>
            </w:pPr>
            <w:r>
              <w:rPr>
                <w:rFonts w:ascii="Arial" w:cs="Arial" w:eastAsia="Arial" w:hAnsi="Arial"/>
                <w:color w:val="1A2332"/>
                <w:sz w:val="20"/>
                <w:szCs w:val="20"/>
              </w:rPr>
              <w:t xml:space="preserve">Delivering Staff Augmentation for UK LegalTech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"legaltech staff augmentation uk"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2026-05-24T11:44:14.012Z</dcterms:created>
  <dcterms:modified xsi:type="dcterms:W3CDTF">2026-05-24T11:44:14.012Z</dcterms:modified>
</cp:coreProperties>
</file>

<file path=docProps/custom.xml><?xml version="1.0" encoding="utf-8"?>
<Properties xmlns="http://schemas.openxmlformats.org/officeDocument/2006/custom-properties" xmlns:vt="http://schemas.openxmlformats.org/officeDocument/2006/docPropsVTypes"/>
</file>