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PropTech UK | ClickMasters
META DESC: Cloud-Native Development for UK PropTech. UK GDPR. £25,000–£150,000.
SLUG: /proptech-cloud-native-development/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PropTech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PropTech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PropTech</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PropTech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PropTech businesses with UK GDPR,  ICO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PropTech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Multi-Region PropTech Architecture on AWS: </w:t>
      </w:r>
      <w:r>
        <w:rPr>
          <w:rFonts w:ascii="Arial" w:cs="Arial" w:eastAsia="Arial" w:hAnsi="Arial"/>
          <w:b w:val="false"/>
          <w:bCs w:val="false"/>
          <w:i w:val="false"/>
          <w:iCs w:val="false"/>
          <w:color w:val="1A2332"/>
          <w:sz w:val="22"/>
          <w:szCs w:val="22"/>
        </w:rPr>
        <w:t xml:space="preserve">PropTech platforms serving UK property data must process personal data within the UK. AWS eu-west-2 (London) as primary region for all personal data. UK Land Registry data: HMLR Price Paid Data and UK House Price Index available via GOV.UK API. Companies House API for commercial property entity verification. AWS CloudFront with UK-only data routing for tenant personal data.</w:t>
      </w:r>
    </w:p>
    <w:p>
      <w:pPr>
        <w:spacing w:after="60" w:before="60"/>
      </w:pPr>
    </w:p>
    <w:p>
      <w:pPr>
        <w:spacing w:after="160" w:before="100"/>
      </w:pPr>
      <w:r>
        <w:rPr>
          <w:rFonts w:ascii="Arial" w:cs="Arial" w:eastAsia="Arial" w:hAnsi="Arial"/>
          <w:b/>
          <w:bCs/>
          <w:i w:val="false"/>
          <w:iCs w:val="false"/>
          <w:color w:val="E8612A"/>
          <w:sz w:val="22"/>
          <w:szCs w:val="22"/>
        </w:rPr>
        <w:t xml:space="preserve">Real-Time Property Data Pipelines: </w:t>
      </w:r>
      <w:r>
        <w:rPr>
          <w:rFonts w:ascii="Arial" w:cs="Arial" w:eastAsia="Arial" w:hAnsi="Arial"/>
          <w:b w:val="false"/>
          <w:bCs w:val="false"/>
          <w:i w:val="false"/>
          <w:iCs w:val="false"/>
          <w:color w:val="1A2332"/>
          <w:sz w:val="22"/>
          <w:szCs w:val="22"/>
        </w:rPr>
        <w:t xml:space="preserve">PropTech real-time data architecture: AWS Kinesis for property listing event streams (new to market, price reduced, sold), Lambda for data enrichment (EPC rating lookup, flood risk, school catchment), DynamoDB for current state (mutable listing data), and PostgreSQL for historical analytics. TimescaleDB for time-series property price data.</w:t>
      </w:r>
    </w:p>
    <w:p>
      <w:pPr>
        <w:spacing w:after="60" w:before="60"/>
      </w:pPr>
    </w:p>
    <w:p>
      <w:pPr>
        <w:spacing w:after="160" w:before="100"/>
      </w:pPr>
      <w:r>
        <w:rPr>
          <w:rFonts w:ascii="Arial" w:cs="Arial" w:eastAsia="Arial" w:hAnsi="Arial"/>
          <w:b/>
          <w:bCs/>
          <w:i w:val="false"/>
          <w:iCs w:val="false"/>
          <w:color w:val="E8612A"/>
          <w:sz w:val="22"/>
          <w:szCs w:val="22"/>
        </w:rPr>
        <w:t xml:space="preserve">Serverless PropTech APIs: </w:t>
      </w:r>
      <w:r>
        <w:rPr>
          <w:rFonts w:ascii="Arial" w:cs="Arial" w:eastAsia="Arial" w:hAnsi="Arial"/>
          <w:b w:val="false"/>
          <w:bCs w:val="false"/>
          <w:i w:val="false"/>
          <w:iCs w:val="false"/>
          <w:color w:val="1A2332"/>
          <w:sz w:val="22"/>
          <w:szCs w:val="22"/>
        </w:rPr>
        <w:t xml:space="preserve">AWS Lambda + API Gateway for PropTech micro-APIs: property valuation estimate (Lambda calling ML model), mortgage eligibility indicator (Lambda calling affordability calculation), and comparable evidence API (Lambda querying HMLR transaction data). Serverless scales to portal traffic spikes (Rightmove-level traffic at peak) without pre-provisioning.</w:t>
      </w:r>
    </w:p>
    <w:p>
      <w:pPr>
        <w:spacing w:after="60" w:before="60"/>
      </w:pPr>
    </w:p>
    <w:p>
      <w:pPr>
        <w:spacing w:after="160" w:before="100"/>
      </w:pPr>
      <w:r>
        <w:rPr>
          <w:rFonts w:ascii="Arial" w:cs="Arial" w:eastAsia="Arial" w:hAnsi="Arial"/>
          <w:b/>
          <w:bCs/>
          <w:i w:val="false"/>
          <w:iCs w:val="false"/>
          <w:color w:val="E8612A"/>
          <w:sz w:val="22"/>
          <w:szCs w:val="22"/>
        </w:rPr>
        <w:t xml:space="preserve">MEES 2027 Compliance in PropTech Cloud Architecture: </w:t>
      </w:r>
      <w:r>
        <w:rPr>
          <w:rFonts w:ascii="Arial" w:cs="Arial" w:eastAsia="Arial" w:hAnsi="Arial"/>
          <w:b w:val="false"/>
          <w:bCs w:val="false"/>
          <w:i w:val="false"/>
          <w:iCs w:val="false"/>
          <w:color w:val="1A2332"/>
          <w:sz w:val="22"/>
          <w:szCs w:val="22"/>
        </w:rPr>
        <w:t xml:space="preserve">Minimum Energy Efficiency Standards: EPC rating C required for commercial lettings by 2027. PropTech platforms must surface MEES compliance status per property. EPC data: MHCLG EPC API (free, no authentication required for basic lookups). MEES non-compliance alerts: automated Lambda trigger when EPC rating D or below for commercial properties approaching the 2027 deadline.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ICO, Cyber Essentials, MEES 2027, Companies House, Land Registry API</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PropTech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cloud architecture does PropTech need?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AWS eu-west-2 for UK GDPR data residency. Key services: Kinesis for listing event streams, Lambda for data enrichment APIs, CloudFront for portal CDN (UK routing for personal data), RDS PostgreSQL for structured property data, S3 for property images (presigned URLs, not public), and Cognito for user authentication with HMLR/Companies House integration.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integrate with UK government property APIs?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HMLR Price Paid Data: available as bulk download or via SPARQL API (free, no authentication). UK House Price Index: monthly data via GOV.UK API. EPC Register: MHCLG API (requires API key registration). Companies House: REST API for corporate property ownership (requires API key). Ordnance Survey: OS Maps and Places APIs (commercial licence required).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PropTech Software Development UK: /proptech-software-development/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MEES Compliance Software UK: /mees-compliance-software/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PropTech Cloud-Native Development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PropTech Team</w:t>
            </w:r>
          </w:p>
          <w:p>
            <w:pPr>
              <w:spacing w:after="80" w:before="0"/>
            </w:pPr>
            <w:r>
              <w:rPr>
                <w:rFonts w:ascii="Arial" w:cs="Arial" w:eastAsia="Arial" w:hAnsi="Arial"/>
                <w:b/>
                <w:bCs/>
                <w:color w:val="E8612A"/>
                <w:sz w:val="20"/>
                <w:szCs w:val="20"/>
              </w:rPr>
              <w:t xml:space="preserve">PropTech software specialists</w:t>
            </w:r>
          </w:p>
          <w:p>
            <w:pPr>
              <w:spacing w:after="0" w:before="0"/>
            </w:pPr>
            <w:r>
              <w:rPr>
                <w:rFonts w:ascii="Arial" w:cs="Arial" w:eastAsia="Arial" w:hAnsi="Arial"/>
                <w:color w:val="1A2332"/>
                <w:sz w:val="20"/>
                <w:szCs w:val="20"/>
              </w:rPr>
              <w:t xml:space="preserve">Delivering Cloud-Native Development for UK PropTech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"proptech cloud native development uk"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2026-05-26T07:58:27.053Z</dcterms:created>
  <dcterms:modified xsi:type="dcterms:W3CDTF">2026-05-26T07:58:27.053Z</dcterms:modified>
</cp:coreProperties>
</file>

<file path=docProps/custom.xml><?xml version="1.0" encoding="utf-8"?>
<Properties xmlns="http://schemas.openxmlformats.org/officeDocument/2006/custom-properties" xmlns:vt="http://schemas.openxmlformats.org/officeDocument/2006/docPropsVTypes"/>
</file>