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Staff Augmentation for PropTech UK | ClickMasters
META DESC: Staff Augmentation for UK PropTech. IR35. from £5,500/month.
SLUG: /proptech-staff-augmentation/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9 min  |  Written by: ClickMasters PropTech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PropTech Software</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Staff Augmentation for PropTech</w:t>
      </w:r>
    </w:p>
    <w:p>
      <w:pPr>
        <w:spacing w:after="60" w:before="60"/>
      </w:pPr>
    </w:p>
    <w:p>
      <w:pPr>
        <w:pStyle w:val="Heading1"/>
        <w:spacing w:after="160" w:before="360"/>
      </w:pPr>
      <w:r>
        <w:rPr>
          <w:rFonts w:ascii="Arial" w:cs="Arial" w:eastAsia="Arial" w:hAnsi="Arial"/>
          <w:b/>
          <w:bCs/>
          <w:color w:val="0B1F3A"/>
          <w:sz w:val="40"/>
          <w:szCs w:val="40"/>
        </w:rPr>
        <w:t xml:space="preserve">Staff Augmentation for UK PropTech — IR35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PropTech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£5,500/month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Staff Augmentation for UK PropTech businesses with IR35,  UK GDPR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Staff Augmentation for PropTech — UK Specifics</w:t>
            </w:r>
          </w:p>
        </w:tc>
      </w:tr>
    </w:tbl>
    <w:p>
      <w:pPr>
        <w:spacing w:after="60" w:before="60"/>
      </w:pPr>
    </w:p>
    <w:p>
      <w:pPr>
        <w:spacing w:after="160" w:before="100"/>
      </w:pPr>
      <w:r>
        <w:rPr>
          <w:rFonts w:ascii="Arial" w:cs="Arial" w:eastAsia="Arial" w:hAnsi="Arial"/>
          <w:b/>
          <w:bCs/>
          <w:i w:val="false"/>
          <w:iCs w:val="false"/>
          <w:color w:val="E8612A"/>
          <w:sz w:val="22"/>
          <w:szCs w:val="22"/>
        </w:rPr>
        <w:t xml:space="preserve">PropTech Engineer Vetting: </w:t>
      </w:r>
      <w:r>
        <w:rPr>
          <w:rFonts w:ascii="Arial" w:cs="Arial" w:eastAsia="Arial" w:hAnsi="Arial"/>
          <w:b w:val="false"/>
          <w:bCs w:val="false"/>
          <w:i w:val="false"/>
          <w:iCs w:val="false"/>
          <w:color w:val="1A2332"/>
          <w:sz w:val="22"/>
          <w:szCs w:val="22"/>
        </w:rPr>
        <w:t xml:space="preserve">PropTech staff augmentation engineers must have specific property technology awareness: UK Land Registry API integration (HMLR Price Paid Data, Digital Registration Service), Companies House API for property ownership and entity verification, OS Maps Platform (commercial licence and usage requirements), EPC Register API (MHCLG), and MEES compliance architecture awareness.</w:t>
      </w:r>
    </w:p>
    <w:p>
      <w:pPr>
        <w:spacing w:after="60" w:before="60"/>
      </w:pPr>
    </w:p>
    <w:p>
      <w:pPr>
        <w:spacing w:after="160" w:before="100"/>
      </w:pPr>
      <w:r>
        <w:rPr>
          <w:rFonts w:ascii="Arial" w:cs="Arial" w:eastAsia="Arial" w:hAnsi="Arial"/>
          <w:b/>
          <w:bCs/>
          <w:i w:val="false"/>
          <w:iCs w:val="false"/>
          <w:color w:val="E8612A"/>
          <w:sz w:val="22"/>
          <w:szCs w:val="22"/>
        </w:rPr>
        <w:t xml:space="preserve">IR35 Zero Liability for PropTech Platforms: </w:t>
      </w:r>
      <w:r>
        <w:rPr>
          <w:rFonts w:ascii="Arial" w:cs="Arial" w:eastAsia="Arial" w:hAnsi="Arial"/>
          <w:b w:val="false"/>
          <w:bCs w:val="false"/>
          <w:i w:val="false"/>
          <w:iCs w:val="false"/>
          <w:color w:val="1A2332"/>
          <w:sz w:val="22"/>
          <w:szCs w:val="22"/>
        </w:rPr>
        <w:t xml:space="preserve">PropTech companies as medium/large businesses are responsible for IR35 determinations. ClickMasters employment model eliminates this — our engineers are employees. Particularly valuable for PropTech scale-ups growing their engineering teams rapidly, where the overhead of IR35 contractor management grows non-linearly.</w:t>
      </w:r>
    </w:p>
    <w:p>
      <w:pPr>
        <w:spacing w:after="60" w:before="60"/>
      </w:pPr>
    </w:p>
    <w:p>
      <w:pPr>
        <w:spacing w:after="160" w:before="100"/>
      </w:pPr>
      <w:r>
        <w:rPr>
          <w:rFonts w:ascii="Arial" w:cs="Arial" w:eastAsia="Arial" w:hAnsi="Arial"/>
          <w:b/>
          <w:bCs/>
          <w:i w:val="false"/>
          <w:iCs w:val="false"/>
          <w:color w:val="E8612A"/>
          <w:sz w:val="22"/>
          <w:szCs w:val="22"/>
        </w:rPr>
        <w:t xml:space="preserve">UK GDPR for Property Data Processing: </w:t>
      </w:r>
      <w:r>
        <w:rPr>
          <w:rFonts w:ascii="Arial" w:cs="Arial" w:eastAsia="Arial" w:hAnsi="Arial"/>
          <w:b w:val="false"/>
          <w:bCs w:val="false"/>
          <w:i w:val="false"/>
          <w:iCs w:val="false"/>
          <w:color w:val="1A2332"/>
          <w:sz w:val="22"/>
          <w:szCs w:val="22"/>
        </w:rPr>
        <w:t xml:space="preserve">Property data has specific UK GDPR characteristics: property address is generally not personal data when associated with the property rather than an individual, but tenant and leaseholder data, mortgage holder data, and property management history can be personal data. PropTech engineers must understand these distinctions to avoid inadvertent personal data breaches in property data pipelines.</w:t>
      </w:r>
    </w:p>
    <w:p>
      <w:pPr>
        <w:spacing w:after="60" w:before="60"/>
      </w:pPr>
    </w:p>
    <w:p>
      <w:pPr>
        <w:spacing w:after="160" w:before="100"/>
      </w:pPr>
      <w:r>
        <w:rPr>
          <w:rFonts w:ascii="Arial" w:cs="Arial" w:eastAsia="Arial" w:hAnsi="Arial"/>
          <w:b/>
          <w:bCs/>
          <w:i w:val="false"/>
          <w:iCs w:val="false"/>
          <w:color w:val="E8612A"/>
          <w:sz w:val="22"/>
          <w:szCs w:val="22"/>
        </w:rPr>
        <w:t xml:space="preserve">RICS Standards Awareness: </w:t>
      </w:r>
      <w:r>
        <w:rPr>
          <w:rFonts w:ascii="Arial" w:cs="Arial" w:eastAsia="Arial" w:hAnsi="Arial"/>
          <w:b w:val="false"/>
          <w:bCs w:val="false"/>
          <w:i w:val="false"/>
          <w:iCs w:val="false"/>
          <w:color w:val="1A2332"/>
          <w:sz w:val="22"/>
          <w:szCs w:val="22"/>
        </w:rPr>
        <w:t xml:space="preserve">PropTech engineers working on valuation, surveying, or investment software must be aware of RICS (Royal Institution of Chartered Surveyors) standards that affect software design: RICS Red Book (valuation standards), RICS guidance on technology in valuations, and RICS data standards for commercial property. ClickMasters PropTech engineers receive briefing on relevant RICS standards before placement.</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IR35, UK GDPR, RICS standards, Land Registry API, Companies House, MEES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PropTech 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engagement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£5,500/month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Support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Post-launch</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PropTech experience do your staff augmentation engineers have?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PropTech engineers have experience with: UK government property APIs (HMLR, Companies House, EPC Register, OS Maps), property management systems integration (Yardi, MRI, Reapit, Dezrez), real estate data pipelines, building IoT (BMS integration, MEES compliance), and RICS-compliant valuation software.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your PropTech engineers work within an existing team?</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PropTech engineers work within existing client engineering teams, adhering to your existing standards, processes, and tooling. We provide a technical brief at engagement start to align with your architecture.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PropTech Software Development UK: /proptech-software-development/</w:t>
      </w:r>
    </w:p>
    <w:p>
      <w:pPr>
        <w:pStyle w:val="ListParagraph"/>
        <w:numPr>
          <w:ilvl w:val="0"/>
          <w:numId w:val="2"/>
        </w:numPr>
        <w:spacing w:after="60" w:before="60"/>
      </w:pPr>
      <w:r>
        <w:rPr>
          <w:rFonts w:ascii="Arial" w:cs="Arial" w:eastAsia="Arial" w:hAnsi="Arial"/>
          <w:color w:val="1A4A8A"/>
          <w:sz w:val="22"/>
          <w:szCs w:val="22"/>
        </w:rPr>
        <w:t xml:space="preserve">Staff Augmentation UK: /staff-augmentation/</w:t>
      </w:r>
    </w:p>
    <w:p>
      <w:pPr>
        <w:pStyle w:val="ListParagraph"/>
        <w:numPr>
          <w:ilvl w:val="0"/>
          <w:numId w:val="2"/>
        </w:numPr>
        <w:spacing w:after="60" w:before="60"/>
      </w:pPr>
      <w:r>
        <w:rPr>
          <w:rFonts w:ascii="Arial" w:cs="Arial" w:eastAsia="Arial" w:hAnsi="Arial"/>
          <w:color w:val="1A4A8A"/>
          <w:sz w:val="22"/>
          <w:szCs w:val="22"/>
        </w:rPr>
        <w:t xml:space="preserve">Cloud-Native Development UK: /cloud-native-development/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PropTech Staff Augmentation — Free Consultation</w:t>
            </w:r>
          </w:p>
          <w:p>
            <w:pPr>
              <w:spacing w:after="160" w:before="0"/>
            </w:pPr>
            <w:r>
              <w:rPr>
                <w:rFonts w:ascii="Arial" w:cs="Arial" w:eastAsia="Arial" w:hAnsi="Arial"/>
                <w:color w:val="BDD0E8"/>
                <w:sz w:val="22"/>
                <w:szCs w:val="22"/>
              </w:rPr>
              <w:t xml:space="preserve">45 minutes with a senior specialist.</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PropTech Team</w:t>
            </w:r>
          </w:p>
          <w:p>
            <w:pPr>
              <w:spacing w:after="80" w:before="0"/>
            </w:pPr>
            <w:r>
              <w:rPr>
                <w:rFonts w:ascii="Arial" w:cs="Arial" w:eastAsia="Arial" w:hAnsi="Arial"/>
                <w:b/>
                <w:bCs/>
                <w:color w:val="E8612A"/>
                <w:sz w:val="20"/>
                <w:szCs w:val="20"/>
              </w:rPr>
              <w:t xml:space="preserve">PropTech specialists</w:t>
            </w:r>
          </w:p>
          <w:p>
            <w:pPr>
              <w:spacing w:after="0" w:before="0"/>
            </w:pPr>
            <w:r>
              <w:rPr>
                <w:rFonts w:ascii="Arial" w:cs="Arial" w:eastAsia="Arial" w:hAnsi="Arial"/>
                <w:color w:val="1A2332"/>
                <w:sz w:val="20"/>
                <w:szCs w:val="20"/>
              </w:rPr>
              <w:t xml:space="preserve">Delivering Staff Augmentation for UK PropTech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"proptech staff augmentation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2026-05-26T08:15:33.171Z</dcterms:created>
  <dcterms:modified xsi:type="dcterms:W3CDTF">2026-05-26T08:15:33.171Z</dcterms:modified>
</cp:coreProperties>
</file>

<file path=docProps/custom.xml><?xml version="1.0" encoding="utf-8"?>
<Properties xmlns="http://schemas.openxmlformats.org/officeDocument/2006/custom-properties" xmlns:vt="http://schemas.openxmlformats.org/officeDocument/2006/docPropsVTypes"/>
</file>