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InsurTech UK | ClickMasters
META DESC: SaaS Development for UK InsurTech. FCA ICOBS. £40,000–£200,000.
SLUG: /insurtech-saas-development/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InsurTech businesses with FCA ICOBS,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InsurTech SaaS Architecture: </w:t>
      </w:r>
      <w:r>
        <w:rPr>
          <w:rFonts w:ascii="Arial" w:cs="Arial" w:eastAsia="Arial" w:hAnsi="Arial"/>
          <w:b w:val="false"/>
          <w:bCs w:val="false"/>
          <w:i w:val="false"/>
          <w:iCs w:val="false"/>
          <w:color w:val="1A2332"/>
          <w:sz w:val="22"/>
          <w:szCs w:val="22"/>
        </w:rPr>
        <w:t xml:space="preserve">InsurTech SaaS serving multiple insurance brokers or MGAs (Managing General Agents): each broker is a separate FCA-regulated firm. Multi-tenancy requirements: each broker's client data isolated at database level (UK GDPR controller isolation), each broker's FCA regulatory data separated (RMAR returns, complaints data), and each broker's Lloyd's binding authority data isolated from other tenants. Row-level security: PostgreSQL RLS policies enforced per broker organisation.</w:t>
      </w:r>
    </w:p>
    <w:p>
      <w:pPr>
        <w:spacing w:after="60" w:before="60"/>
      </w:pPr>
    </w:p>
    <w:p>
      <w:pPr>
        <w:spacing w:after="160" w:before="100"/>
      </w:pPr>
      <w:r>
        <w:rPr>
          <w:rFonts w:ascii="Arial" w:cs="Arial" w:eastAsia="Arial" w:hAnsi="Arial"/>
          <w:b/>
          <w:bCs/>
          <w:i w:val="false"/>
          <w:iCs w:val="false"/>
          <w:color w:val="E8612A"/>
          <w:sz w:val="22"/>
          <w:szCs w:val="22"/>
        </w:rPr>
        <w:t xml:space="preserve">FCA Authorisation Workflow in InsurTech SaaS: </w:t>
      </w:r>
      <w:r>
        <w:rPr>
          <w:rFonts w:ascii="Arial" w:cs="Arial" w:eastAsia="Arial" w:hAnsi="Arial"/>
          <w:b w:val="false"/>
          <w:bCs w:val="false"/>
          <w:i w:val="false"/>
          <w:iCs w:val="false"/>
          <w:color w:val="1A2332"/>
          <w:sz w:val="22"/>
          <w:szCs w:val="22"/>
        </w:rPr>
        <w:t xml:space="preserve">InsurTech SaaS onboarding new broker clients: FCA authorisation verification (FCA Register API lookup by FRN — Firm Reference Number) before activating client account. FCA Register API: live FCA authorisation status, permissions, and principal/appointed representative relationships. Ongoing monitoring: automated weekly FCA Register check — flag if client FCA status changes (lapsed, suspended). This protects the SaaS provider from inadvertently serving unauthorised insurance distributors.</w:t>
      </w:r>
    </w:p>
    <w:p>
      <w:pPr>
        <w:spacing w:after="60" w:before="60"/>
      </w:pPr>
    </w:p>
    <w:p>
      <w:pPr>
        <w:spacing w:after="160" w:before="100"/>
      </w:pPr>
      <w:r>
        <w:rPr>
          <w:rFonts w:ascii="Arial" w:cs="Arial" w:eastAsia="Arial" w:hAnsi="Arial"/>
          <w:b/>
          <w:bCs/>
          <w:i w:val="false"/>
          <w:iCs w:val="false"/>
          <w:color w:val="E8612A"/>
          <w:sz w:val="22"/>
          <w:szCs w:val="22"/>
        </w:rPr>
        <w:t xml:space="preserve">Actuarial Data and Solvency II Reporting SaaS: </w:t>
      </w:r>
      <w:r>
        <w:rPr>
          <w:rFonts w:ascii="Arial" w:cs="Arial" w:eastAsia="Arial" w:hAnsi="Arial"/>
          <w:b w:val="false"/>
          <w:bCs w:val="false"/>
          <w:i w:val="false"/>
          <w:iCs w:val="false"/>
          <w:color w:val="1A2332"/>
          <w:sz w:val="22"/>
          <w:szCs w:val="22"/>
        </w:rPr>
        <w:t xml:space="preserve">Solvency II UK: insurance firms must submit Quantitative Reporting Templates (QRTs) to the PRA (Prudential Regulation Authority). InsurTech SaaS for actuarial teams: automated QRT data extraction from policy and claims systems, QRT template population (XBRL format), and PRA submission workflow. The Actuarial Profession UK: actuaries typically oversee QRT submissions — platform must support actuarial review and sign-off workflow.</w:t>
      </w:r>
    </w:p>
    <w:p>
      <w:pPr>
        <w:spacing w:after="60" w:before="60"/>
      </w:pPr>
    </w:p>
    <w:p>
      <w:pPr>
        <w:spacing w:after="160" w:before="100"/>
      </w:pPr>
      <w:r>
        <w:rPr>
          <w:rFonts w:ascii="Arial" w:cs="Arial" w:eastAsia="Arial" w:hAnsi="Arial"/>
          <w:b/>
          <w:bCs/>
          <w:i w:val="false"/>
          <w:iCs w:val="false"/>
          <w:color w:val="E8612A"/>
          <w:sz w:val="22"/>
          <w:szCs w:val="22"/>
        </w:rPr>
        <w:t xml:space="preserve">Lloyd's Coverholder SaaS: </w:t>
      </w:r>
      <w:r>
        <w:rPr>
          <w:rFonts w:ascii="Arial" w:cs="Arial" w:eastAsia="Arial" w:hAnsi="Arial"/>
          <w:b w:val="false"/>
          <w:bCs w:val="false"/>
          <w:i w:val="false"/>
          <w:iCs w:val="false"/>
          <w:color w:val="1A2332"/>
          <w:sz w:val="22"/>
          <w:szCs w:val="22"/>
        </w:rPr>
        <w:t xml:space="preserve">Lloyd's coverholders (firms authorised to bind Lloyd's business on behalf of syndicates) need specific SaaS features: binding authority management, bordereaux generation (monthly claims and premium reports to Lloyd's), and Lloyd's Crystal compliance. Lloyd's PPL (Placing Platform) integration: electronic endorsement and cancellation submission. Lloyd's Atlas: new data and technology platform (replacing Crystal) — InsurTech SaaS must align with Atlas integration roadmap.</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Consumer Duty, Solvency II UK, UK GDPR, Lloyd's, G-Cloud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requirements must InsurTech SaaS satisfy?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InsurTech SaaS used by FCA-regulated insurance brokers must: not create regulatory risk for broker clients (i.e., not facilitate non-compliant insurance distribution), support FCA ICOBS compliance (demands and needs, fair treatment, cancellation), enable RMAR (Retail Mediation Activities Return) data aggregation, and have a clear Data Processing Agreement. Consumer Duty: InsurTech SaaS used for retail insurance must support Consumer Duty compliance — fair value assessment, Consumer Understanding, and Consumer Support.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multi-tenant SaaS work for Lloyd's coverholders?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Each Lloyd's coverholder has separate binding authority agreements, separate premium and claims bordereaux obligations, and separate Lloyd's audit rights. Multi-tenant InsurTech SaaS for coverholders: each coverholder's bordereaux data is strictly isolated (Lloyd's can audit one coverholder without seeing another's data), binding authority limits enforced per tenant (a coverholder cannot accidentally exceed their binding authority limit), and Lloyd's Crystal/Atlas data feeds are tenant-specific.</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SaaS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2026-05-28T20:13:18.063Z</dcterms:created>
  <dcterms:modified xsi:type="dcterms:W3CDTF">2026-05-28T20:13:18.063Z</dcterms:modified>
</cp:coreProperties>
</file>

<file path=docProps/custom.xml><?xml version="1.0" encoding="utf-8"?>
<Properties xmlns="http://schemas.openxmlformats.org/officeDocument/2006/custom-properties" xmlns:vt="http://schemas.openxmlformats.org/officeDocument/2006/docPropsVTypes"/>
</file>