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Software Development UK — SRA Compliant Matter Management &amp; Legal AI | ClickMasters
META DESC: ClickMasters LegalTech software development specialists. SRA Compliance. From £30,000. Free consultation for UK LegalTech businesses.
SLUG: /legaltech-software-development/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LegalTech Team  |  Reviewed by: James Whitmore, CTO — LegalTech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LegalTech Software Development UK — SRA Compliant Matter Management &amp; Legal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SRA Compliance Aware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 Legal Privilege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AML for Law Firms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 AI Ethics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Client Money (CASS-aware)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of London Law Cluster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LegalTech software in the UK must be built with awareness of Solicitors Regulation Authority (SRA) obligations, legal professional privilege (which affects data architecture), AML requirements for law firms under POCA 2002 and the MLRs 2017, and the Law Society's guidance on AI in legal services. Software holding client data must meet the SRA's data protection requirements, and any software handling client money must understand CASS-style client fund segregation. ClickMasters builds LegalTech software for UK law firms, barristers' chambers, and legal technology startups.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LegalTech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LegalTech is one of the fastest-growing sectors — driven by law firms' need to improve efficiency, the rise of alternative legal service providers, and increasing demand for legal AI tools. Building software for UK legal sector clients requires understanding the regulatory context: SRA obligations on law firms, AML requirements, legal professional privilege data architecture, and the Law Society's evolving guidance on responsible AI in legal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LegalTech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LegalTech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SRA Compliance Awareness: </w:t>
      </w:r>
      <w:r>
        <w:rPr>
          <w:rFonts w:ascii="Arial" w:cs="Arial" w:eastAsia="Arial" w:hAnsi="Arial"/>
          <w:b w:val="false"/>
          <w:bCs w:val="false"/>
          <w:i w:val="false"/>
          <w:iCs w:val="false"/>
          <w:color w:val="1A2332"/>
          <w:sz w:val="22"/>
          <w:szCs w:val="22"/>
        </w:rPr>
        <w:t xml:space="preserve">The Solicitors Regulation Authority regulates solicitors in England and Wales. Software used by SRA-regulated firms must support their compliance obligations: conflict checks, client due diligence, matter management with appropriate access controls, and audit trails sufficient for SRA investigation if required.</w:t>
      </w:r>
    </w:p>
    <w:p>
      <w:pPr>
        <w:spacing w:after="60" w:before="60"/>
      </w:pPr>
    </w:p>
    <w:p>
      <w:pPr>
        <w:spacing w:after="160" w:before="100"/>
      </w:pPr>
      <w:r>
        <w:rPr>
          <w:rFonts w:ascii="Arial" w:cs="Arial" w:eastAsia="Arial" w:hAnsi="Arial"/>
          <w:b/>
          <w:bCs/>
          <w:i w:val="false"/>
          <w:iCs w:val="false"/>
          <w:color w:val="E8612A"/>
          <w:sz w:val="22"/>
          <w:szCs w:val="22"/>
        </w:rPr>
        <w:t xml:space="preserve">Legal Professional Privilege: </w:t>
      </w:r>
      <w:r>
        <w:rPr>
          <w:rFonts w:ascii="Arial" w:cs="Arial" w:eastAsia="Arial" w:hAnsi="Arial"/>
          <w:b w:val="false"/>
          <w:bCs w:val="false"/>
          <w:i w:val="false"/>
          <w:iCs w:val="false"/>
          <w:color w:val="1A2332"/>
          <w:sz w:val="22"/>
          <w:szCs w:val="22"/>
        </w:rPr>
        <w:t xml:space="preserve">Communications between a solicitor and client for the purpose of legal advice are protected by legal professional privilege (LPP). Software architecture must ensure LPP-protected data cannot be accessed without proper authorisation — and must be designed so that data subject access requests (GDPR) do not inadvertently reveal privileged communications. This is a uniquely complex data architecture challenge.</w:t>
      </w:r>
    </w:p>
    <w:p>
      <w:pPr>
        <w:spacing w:after="60" w:before="60"/>
      </w:pPr>
    </w:p>
    <w:p>
      <w:pPr>
        <w:spacing w:after="160" w:before="100"/>
      </w:pPr>
      <w:r>
        <w:rPr>
          <w:rFonts w:ascii="Arial" w:cs="Arial" w:eastAsia="Arial" w:hAnsi="Arial"/>
          <w:b/>
          <w:bCs/>
          <w:i w:val="false"/>
          <w:iCs w:val="false"/>
          <w:color w:val="E8612A"/>
          <w:sz w:val="22"/>
          <w:szCs w:val="22"/>
        </w:rPr>
        <w:t xml:space="preserve">AML for Law Firms: </w:t>
      </w:r>
      <w:r>
        <w:rPr>
          <w:rFonts w:ascii="Arial" w:cs="Arial" w:eastAsia="Arial" w:hAnsi="Arial"/>
          <w:b w:val="false"/>
          <w:bCs w:val="false"/>
          <w:i w:val="false"/>
          <w:iCs w:val="false"/>
          <w:color w:val="1A2332"/>
          <w:sz w:val="22"/>
          <w:szCs w:val="22"/>
        </w:rPr>
        <w:t xml:space="preserve">Law firms are regulated for AML under the Money Laundering Regulations 2017. Software must support: client due diligence (CDD), enhanced due diligence for high-risk clients, suspicious activity reporting to MLRO, and transaction monitoring for unusual patterns. The POCA 2002 tipping-off provisions affect what information the software can display to users under investigation.</w:t>
      </w:r>
    </w:p>
    <w:p>
      <w:pPr>
        <w:spacing w:after="60" w:before="60"/>
      </w:pPr>
    </w:p>
    <w:p>
      <w:pPr>
        <w:spacing w:after="160" w:before="100"/>
      </w:pPr>
      <w:r>
        <w:rPr>
          <w:rFonts w:ascii="Arial" w:cs="Arial" w:eastAsia="Arial" w:hAnsi="Arial"/>
          <w:b/>
          <w:bCs/>
          <w:i w:val="false"/>
          <w:iCs w:val="false"/>
          <w:color w:val="E8612A"/>
          <w:sz w:val="22"/>
          <w:szCs w:val="22"/>
        </w:rPr>
        <w:t xml:space="preserve">Legal AI Ethics: </w:t>
      </w:r>
      <w:r>
        <w:rPr>
          <w:rFonts w:ascii="Arial" w:cs="Arial" w:eastAsia="Arial" w:hAnsi="Arial"/>
          <w:b w:val="false"/>
          <w:bCs w:val="false"/>
          <w:i w:val="false"/>
          <w:iCs w:val="false"/>
          <w:color w:val="1A2332"/>
          <w:sz w:val="22"/>
          <w:szCs w:val="22"/>
        </w:rPr>
        <w:t xml:space="preserve">The Law Society has issued guidance on responsible AI in legal services. Key considerations: explainability (clients should understand how AI-assisted advice was reached), human oversight (AI recommendations must be reviewed by a qualified lawyer), data governance (training data must not include privileged materials), and liability (who is responsible if AI-assisted advice is wrong).</w:t>
      </w:r>
    </w:p>
    <w:p>
      <w:pPr>
        <w:spacing w:after="60" w:before="60"/>
      </w:pPr>
    </w:p>
    <w:p>
      <w:pPr>
        <w:spacing w:after="160" w:before="100"/>
      </w:pPr>
      <w:r>
        <w:rPr>
          <w:rFonts w:ascii="Arial" w:cs="Arial" w:eastAsia="Arial" w:hAnsi="Arial"/>
          <w:b/>
          <w:bCs/>
          <w:i w:val="false"/>
          <w:iCs w:val="false"/>
          <w:color w:val="E8612A"/>
          <w:sz w:val="22"/>
          <w:szCs w:val="22"/>
        </w:rPr>
        <w:t xml:space="preserve">Client Money Architecture: </w:t>
      </w:r>
      <w:r>
        <w:rPr>
          <w:rFonts w:ascii="Arial" w:cs="Arial" w:eastAsia="Arial" w:hAnsi="Arial"/>
          <w:b w:val="false"/>
          <w:bCs w:val="false"/>
          <w:i w:val="false"/>
          <w:iCs w:val="false"/>
          <w:color w:val="1A2332"/>
          <w:sz w:val="22"/>
          <w:szCs w:val="22"/>
        </w:rPr>
        <w:t xml:space="preserve">Law firms handling client money must comply with SRA Account Rules. Software handling client accounts must ensure: client money is never commingled with office money, accurate records of each client's entitlement at all times, prompt reconciliation, and audit trails sufficient for SRA inspection.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LegalTech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LegalTech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SRA Compliance |  UK GDPR |  Legal Professional Privilege |  AML (MLRs 2017) |  Cyber Essentials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LegalTech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Matter Management System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SRA-compliant matter management, conflict checks, document management, billing. From £40,000.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 AI Tool Development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Contract review AI, document summarisation, legal research assistance. Law Society AI guidance compliant. From £35,000.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Client Portal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Secure client portal, matter progress tracking, document exchange, billing visibility. From £25,000.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AML Compliance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CDD/EDD workflow, MLRO reporting, sanctions screening for law firms. From £30,000.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 SaaS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B2B legal SaaS for law firms or ALSPs. Multi-tenant, SRA-aware data architecture. From £60,000.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LegalTech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my LegalTech product need SRA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LegalTech software companies generally don't need SRA authorisation unless they're providing reserved legal activities (advocacy, litigation, conveyancing, probate, notarial activities). Providing software tools to law firms is not itself a regulated activity. However, if your platform enables non-lawyers to provide legal advice, you may be providing an "alternative business structure" requiring SRA regulation. ClickMasters can advise on the regulatory perimeter for your specific LegalTech model.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legal professional privilege affect software architecture?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Legal professional privilege (LPP) requires that privileged communications between solicitor and client cannot be disclosed without the client's consent. From a software architecture perspective: privilege status must be tracked at the document/communication level, SAR (subject access request) responses must screen for LPP before disclosure, access controls must prevent disclosure of LPP data to unauthorised parties, and privilege logs must be maintainable. This requires more sophisticated data modelling than most other document management contexts.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legal AI safe to use with client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Legal AI tools can be used with client data, but require careful governance: training data must not include privileged client materials without explicit consent, outputs must be reviewed by qualified lawyers before being relied upon, the AI system must not be used in a way that creates a risk of unauthorised disclosure, and the Law Society's guidance on responsible AI in legal services should be followed. ClickMasters designs legal AI systems with data governance built in.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pStyle w:val="ListParagraph"/>
        <w:numPr>
          <w:ilvl w:val="0"/>
          <w:numId w:val="3"/>
        </w:numPr>
        <w:spacing w:after="60" w:before="60"/>
      </w:pPr>
      <w:r>
        <w:rPr>
          <w:rFonts w:ascii="Arial" w:cs="Arial" w:eastAsia="Arial" w:hAnsi="Arial"/>
          <w:b w:val="false"/>
          <w:bCs w:val="false"/>
          <w:color w:val="1A2332"/>
          <w:sz w:val="22"/>
          <w:szCs w:val="22"/>
        </w:rPr>
        <w:t xml:space="preserve">LegalTech Software London: /legaltech-software-development-london/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AI Development UK: /ai-development/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LegalTech Software — Free Consultation</w:t>
            </w:r>
          </w:p>
          <w:p>
            <w:pPr>
              <w:spacing w:after="160" w:before="0"/>
            </w:pPr>
            <w:r>
              <w:rPr>
                <w:rFonts w:ascii="Arial" w:cs="Arial" w:eastAsia="Arial" w:hAnsi="Arial"/>
                <w:color w:val="BDD0E8"/>
                <w:sz w:val="22"/>
                <w:szCs w:val="22"/>
              </w:rPr>
              <w:t xml:space="preserve">Book a free 45-minute consultation with a LegalTech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Development Team</w:t>
            </w:r>
          </w:p>
          <w:p>
            <w:pPr>
              <w:spacing w:after="80" w:before="0"/>
            </w:pPr>
            <w:r>
              <w:rPr>
                <w:rFonts w:ascii="Arial" w:cs="Arial" w:eastAsia="Arial" w:hAnsi="Arial"/>
                <w:b/>
                <w:bCs/>
                <w:color w:val="E8612A"/>
                <w:sz w:val="20"/>
                <w:szCs w:val="20"/>
              </w:rPr>
              <w:t xml:space="preserve">LegalTech software specialists — SRA Compliance,  UK GDPR compliance</w:t>
            </w:r>
          </w:p>
          <w:p>
            <w:pPr>
              <w:spacing w:after="0" w:before="0"/>
            </w:pPr>
            <w:r>
              <w:rPr>
                <w:rFonts w:ascii="Arial" w:cs="Arial" w:eastAsia="Arial" w:hAnsi="Arial"/>
                <w:color w:val="1A2332"/>
                <w:sz w:val="20"/>
                <w:szCs w:val="20"/>
              </w:rPr>
              <w:t xml:space="preserve">ClickMasters has built LegalTech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"legaltech software development uk" (300–1,500/mo)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2026-05-21T06:47:57.761Z</dcterms:created>
  <dcterms:modified xsi:type="dcterms:W3CDTF">2026-05-21T06:47:57.761Z</dcterms:modified>
</cp:coreProperties>
</file>

<file path=docProps/custom.xml><?xml version="1.0" encoding="utf-8"?>
<Properties xmlns="http://schemas.openxmlformats.org/officeDocument/2006/custom-properties" xmlns:vt="http://schemas.openxmlformats.org/officeDocument/2006/docPropsVTypes"/>
</file>