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Microservices Architecture UK — Decompose, Scale &amp; Accelerate | ClickMasters
META DESC: UK microservices architecture specialists. Monolith to microservices migration, service mesh, event-driven architecture. Domain-driven design. From £30,000. Free consultation.
SLUG: /microservices-architecture/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Architecture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Microservices Architecture UK</w:t>
      </w:r>
    </w:p>
    <w:p>
      <w:pPr>
        <w:spacing w:after="60" w:before="60"/>
      </w:pPr>
    </w:p>
    <w:p>
      <w:pPr>
        <w:pStyle w:val="Heading1"/>
        <w:spacing w:after="160" w:before="360"/>
      </w:pPr>
      <w:r>
        <w:rPr>
          <w:rFonts w:ascii="Arial" w:cs="Arial" w:eastAsia="Arial" w:hAnsi="Arial"/>
          <w:b/>
          <w:bCs/>
          <w:color w:val="0B1F3A"/>
          <w:sz w:val="40"/>
          <w:szCs w:val="40"/>
        </w:rPr>
        <w:t xml:space="preserve">Microservices Architecture UK — Decompose Your Monolith, Scale Your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Domain-Driven Design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Event-Driven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Service Mesh</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Kubernetes</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From £30,000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Microservices architecture breaks a monolithic application into small, independently deployable services — each responsible for a single business capability. In the UK, microservices are the standard architecture for scaling B2B SaaS platforms, FinTech systems, and high-availability eCommerce platforms. ClickMasters designs microservices architectures using Domain-Driven Design (DDD) principles, with Kubernetes orchestration, event-driven communication (Kafka/RabbitMQ), and UK GDPR compliance built into the inter-service data model.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Microservices vs Monolith — When to Make the Move</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Microservices are not always the right answer. The decision should be driven by specific technical and organisational needs — not trend-following. Here is an honest framework: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Signal</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Recommended Architecture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Reason</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of 1–5 engineers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Monolith</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 add operational overhead that a small team can't absorb</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MVP / early-stage product</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Monolith (well-structured)</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Validate product-market fit first; refactor later if needed</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5+ teams working on same codebase</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Conway's Law: team structure should map to architecture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Services need independent scaling</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e.g. payment processing needs 10x capacity; notification service needs 1x</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Different services need different tech stacks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e.g. ML service in Python; API in Node.js; reporting in Golang</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 boundaries matter</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e.g. UK GDPR: isolate PII processing; FCA: isolate regulated data</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Deployment frequency is constrained</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Independent deployability removes coordination bottleneck</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System is under 100K daily active users</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Usually monolith</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 overhead not justified at this scale for most use cases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The Majestic Monolith: A well-structured monolith with clear internal boundaries is often the right choice for startups and growing companies. Martin Fowler calls this the "Modular Monolith" — it preserves the operational simplicity of a monolith while enabling an eventual migration to microservices if needed. ClickMasters builds modular monoliths that can be decomposed incrementally — avoiding the "big bang" microservices migration.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Domain-Driven Design — The Foundation of Good Microservices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single biggest mistake in microservices adoption is decomposing along technical layers (frontend service, API service, database service) instead of business domains. Domain-Driven Design (DDD) gives us the vocabulary and patterns to identify the right service boundaries:</w:t>
      </w:r>
    </w:p>
    <w:p>
      <w:pPr>
        <w:spacing w:after="60" w:before="60"/>
      </w:pPr>
    </w:p>
    <w:p>
      <w:pPr>
        <w:spacing w:after="160" w:before="100"/>
      </w:pPr>
      <w:r>
        <w:rPr>
          <w:rFonts w:ascii="Arial" w:cs="Arial" w:eastAsia="Arial" w:hAnsi="Arial"/>
          <w:b/>
          <w:bCs/>
          <w:i w:val="false"/>
          <w:iCs w:val="false"/>
          <w:color w:val="E8612A"/>
          <w:sz w:val="22"/>
          <w:szCs w:val="22"/>
        </w:rPr>
        <w:t xml:space="preserve">Bounded Context: </w:t>
      </w:r>
      <w:r>
        <w:rPr>
          <w:rFonts w:ascii="Arial" w:cs="Arial" w:eastAsia="Arial" w:hAnsi="Arial"/>
          <w:b w:val="false"/>
          <w:bCs w:val="false"/>
          <w:i w:val="false"/>
          <w:iCs w:val="false"/>
          <w:color w:val="1A2332"/>
          <w:sz w:val="22"/>
          <w:szCs w:val="22"/>
        </w:rPr>
        <w:t xml:space="preserve">Each microservice owns a Bounded Context — a clear boundary within which a particular domain model applies. "Order" means different things to the Payments team and the Logistics team — so Orders Payments and Orders Logistics should be separate bounded contexts with separate services.</w:t>
      </w:r>
    </w:p>
    <w:p>
      <w:pPr>
        <w:spacing w:after="60" w:before="60"/>
      </w:pPr>
    </w:p>
    <w:p>
      <w:pPr>
        <w:spacing w:after="160" w:before="100"/>
      </w:pPr>
      <w:r>
        <w:rPr>
          <w:rFonts w:ascii="Arial" w:cs="Arial" w:eastAsia="Arial" w:hAnsi="Arial"/>
          <w:b/>
          <w:bCs/>
          <w:i w:val="false"/>
          <w:iCs w:val="false"/>
          <w:color w:val="E8612A"/>
          <w:sz w:val="22"/>
          <w:szCs w:val="22"/>
        </w:rPr>
        <w:t xml:space="preserve">Ubiquitous Language: </w:t>
      </w:r>
      <w:r>
        <w:rPr>
          <w:rFonts w:ascii="Arial" w:cs="Arial" w:eastAsia="Arial" w:hAnsi="Arial"/>
          <w:b w:val="false"/>
          <w:bCs w:val="false"/>
          <w:i w:val="false"/>
          <w:iCs w:val="false"/>
          <w:color w:val="1A2332"/>
          <w:sz w:val="22"/>
          <w:szCs w:val="22"/>
        </w:rPr>
        <w:t xml:space="preserve">Each team and service has a consistent vocabulary for its domain. No ambiguous shared terms across service boundaries. This reduces the most common cause of microservices bugs: different services interpreting the same concept differently.</w:t>
      </w:r>
    </w:p>
    <w:p>
      <w:pPr>
        <w:spacing w:after="60" w:before="60"/>
      </w:pPr>
    </w:p>
    <w:p>
      <w:pPr>
        <w:spacing w:after="160" w:before="100"/>
      </w:pPr>
      <w:r>
        <w:rPr>
          <w:rFonts w:ascii="Arial" w:cs="Arial" w:eastAsia="Arial" w:hAnsi="Arial"/>
          <w:b/>
          <w:bCs/>
          <w:i w:val="false"/>
          <w:iCs w:val="false"/>
          <w:color w:val="E8612A"/>
          <w:sz w:val="22"/>
          <w:szCs w:val="22"/>
        </w:rPr>
        <w:t xml:space="preserve">Aggregates: </w:t>
      </w:r>
      <w:r>
        <w:rPr>
          <w:rFonts w:ascii="Arial" w:cs="Arial" w:eastAsia="Arial" w:hAnsi="Arial"/>
          <w:b w:val="false"/>
          <w:bCs w:val="false"/>
          <w:i w:val="false"/>
          <w:iCs w:val="false"/>
          <w:color w:val="1A2332"/>
          <w:sz w:val="22"/>
          <w:szCs w:val="22"/>
        </w:rPr>
        <w:t xml:space="preserve">Domain objects that change together should be owned by a single service. Splitting aggregates across service boundaries requires distributed transactions — extremely difficult to implement correctly. Let your domain model guide your service boundaries.</w:t>
      </w:r>
    </w:p>
    <w:p>
      <w:pPr>
        <w:spacing w:after="60" w:before="60"/>
      </w:pPr>
    </w:p>
    <w:p>
      <w:pPr>
        <w:spacing w:after="160" w:before="100"/>
      </w:pPr>
      <w:r>
        <w:rPr>
          <w:rFonts w:ascii="Arial" w:cs="Arial" w:eastAsia="Arial" w:hAnsi="Arial"/>
          <w:b/>
          <w:bCs/>
          <w:i w:val="false"/>
          <w:iCs w:val="false"/>
          <w:color w:val="E8612A"/>
          <w:sz w:val="22"/>
          <w:szCs w:val="22"/>
        </w:rPr>
        <w:t xml:space="preserve">Context Mapping: </w:t>
      </w:r>
      <w:r>
        <w:rPr>
          <w:rFonts w:ascii="Arial" w:cs="Arial" w:eastAsia="Arial" w:hAnsi="Arial"/>
          <w:b w:val="false"/>
          <w:bCs w:val="false"/>
          <w:i w:val="false"/>
          <w:iCs w:val="false"/>
          <w:color w:val="1A2332"/>
          <w:sz w:val="22"/>
          <w:szCs w:val="22"/>
        </w:rPr>
        <w:t xml:space="preserve">Where services interact, define the integration pattern explicitly: Customer-Supplier, Anti-Corruption Layer, Shared Kernel, or Open Host Service. These patterns prevent the most common inter-service coupling anti-patterns.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Event-Driven Architecture — Decoupled, Resilient Communication</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Microservices communicate either synchronously (direct API calls) or asynchronously (event-driven via message queues). ClickMasters uses a pragmatic mix:</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226"/>
      </w:tblGrid>
      <w:tr>
        <w:trPr>
          <w:tblHeader/>
        </w:trPr>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Pattern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Technology</w:t>
            </w:r>
          </w:p>
        </w:tc>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Best For</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GDPR Consideration</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Synchronous REST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HTTP REST or gRPC</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Query requests needing immediate response; simple request-reply</w:t>
            </w:r>
          </w:p>
        </w:tc>
      </w:tr>
      <w:tr>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Audit log each call; personal data in transit encrypted via TLS</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Async Events (pub/sub)</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Kafka, RabbitMQ, AWS SNS/SQS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Decoupled notifications; fan-out to multiple consumers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Event payloads containing personal data must be encrypted; retain per policy</w:t>
            </w:r>
          </w:p>
        </w:tc>
      </w:tr>
      <w:tr>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Event Sourcing</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Kafka with compaction</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Audit trail requirements (FCA, NHS); replayable history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Append-only log of personal data changes — must implement "cryptographic erasure" for GDPR right to erasure</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CQRS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Any event bus + read model</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Read-heavy platforms needing separate query optimisation</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Query models may denormalise personal data — all copies must be included in erasure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Microservices Development Pricing (GBP,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1600"/>
        <w:gridCol w:w="1800"/>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3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Microservices Architecture Design</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Domain mapping, service boundary definition, ADR documentation</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 wks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£8,000–£20,000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Greenfield Microservices Build</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New platform built as microservices from day one</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12–36 wks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£60,000–£200,000+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Monolith to Microservices Migration</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Strangler fig migration of existing system</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8–24 wks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£30,000–£150,000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Service Mesh Implementation</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Istio or Linkerd + mTLS + observability</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 wks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£15,000–£50,000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Event-Driven Architecture</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Kafka or RabbitMQ setup + producer/consumer services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4–12 wks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£20,000–£80,000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Microservices Architecture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I build microservices from the start or start with a monolith?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most new products: start with a well-structured monolith. Microservices add significant operational overhead — service discovery, distributed tracing, inter-service authentication, distributed transactions. This overhead is worthwhile when you have multiple teams who need to deploy independently, or when you need independent scaling for different parts of your system. Build the monolith with clean internal boundaries and clear domain separation — this makes eventual decomposition much easier if and when it's needed.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a service mesh and do I need one?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service mesh (Istio, Linkerd) is an infrastructure layer that handles service-to-service communication in a microservices deployment — providing: mTLS encryption between services, traffic management (circuit breakers, retries, load balancing), and distributed tracing. You need a service mesh when: you have 10+ microservices, inter-service security (mTLS) is required for your compliance posture (relevant for FinTech and HealthTech), or you need fine-grained traffic control for canary deployments. For smaller deployments, a service mesh adds more complexity than it solves.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UK GDPR interact with microservices?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Microservices create interesting GDPR challenges. Personal data may flow through multiple services — each acting as a data processor for the data controller (your platform). Key considerations: (1) Right to erasure — you must be able to find and delete personal data across all services that have processed it; (2) Audit logging — log which service processed which personal data, when, for which purpose; (3) Data minimisation — only pass personal data between services that genuinely need it; (4) Event sourcing GDPR tension — immutable event logs conflict with right to erasure; use cryptographic erasure (delete the encryption key for a user's events).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 monolith to microservices migration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Plan for 8–24 months depending on codebase size, team capacity, and risk tolerance. The strangler fig approach means you can deliver value incrementally — extracting one service every 4–8 weeks while the monolith continues to function. The first service extraction is always the hardest and slowest. By the third or fourth, the team has a working pattern and velocity increases. ClickMasters typically recommends starting with a non-critical, well-understood domain — not the most complex or business-critical module.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Monolith to Microservices UK: /monolith-to-microservices/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Design Your Microservices Architecture — Free Workshop</w:t>
            </w:r>
          </w:p>
          <w:p>
            <w:pPr>
              <w:spacing w:after="160" w:before="0"/>
            </w:pPr>
            <w:r>
              <w:rPr>
                <w:rFonts w:ascii="Arial" w:cs="Arial" w:eastAsia="Arial" w:hAnsi="Arial"/>
                <w:color w:val="BDD0E8"/>
                <w:sz w:val="22"/>
                <w:szCs w:val="22"/>
              </w:rPr>
              <w:t xml:space="preserve">2-hour domain mapping workshop with a senior architect. We'll identify your bounded contexts and produce a service decomposition diagram.</w:t>
            </w:r>
          </w:p>
          <w:p>
            <w:pPr>
              <w:spacing w:after="0" w:before="0"/>
            </w:pPr>
            <w:r>
              <w:rPr>
                <w:rFonts w:ascii="Arial" w:cs="Arial" w:eastAsia="Arial" w:hAnsi="Arial"/>
                <w:b/>
                <w:bCs/>
                <w:color w:val="E8612A"/>
                <w:sz w:val="22"/>
                <w:szCs w:val="22"/>
              </w:rPr>
              <w:t xml:space="preserve">→ Book Free Architecture Workshop: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Systems Architecture Team</w:t>
            </w:r>
          </w:p>
          <w:p>
            <w:pPr>
              <w:spacing w:after="80" w:before="0"/>
            </w:pPr>
            <w:r>
              <w:rPr>
                <w:rFonts w:ascii="Arial" w:cs="Arial" w:eastAsia="Arial" w:hAnsi="Arial"/>
                <w:b/>
                <w:bCs/>
                <w:color w:val="E8612A"/>
                <w:sz w:val="20"/>
                <w:szCs w:val="20"/>
              </w:rPr>
              <w:t xml:space="preserve">Domain-Driven Design and microservices specialists</w:t>
            </w:r>
          </w:p>
          <w:p>
            <w:pPr>
              <w:spacing w:after="0" w:before="0"/>
            </w:pPr>
            <w:r>
              <w:rPr>
                <w:rFonts w:ascii="Arial" w:cs="Arial" w:eastAsia="Arial" w:hAnsi="Arial"/>
                <w:color w:val="1A2332"/>
                <w:sz w:val="20"/>
                <w:szCs w:val="20"/>
              </w:rPr>
              <w:t xml:space="preserve">ClickMasters has designed and built microservices platforms for UK FinTech, eCommerce, and enterprise clients. Our Domain-Driven Design approach prevents the most common microservices failure mode: wrong service boundaries.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"microservices architecture uk" (500/mo), "monolith to microservices uk" (500/mo), "microservices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2026-05-20T15:04:24.795Z</dcterms:created>
  <dcterms:modified xsi:type="dcterms:W3CDTF">2026-05-20T15:04:24.795Z</dcterms:modified>
</cp:coreProperties>
</file>

<file path=docProps/custom.xml><?xml version="1.0" encoding="utf-8"?>
<Properties xmlns="http://schemas.openxmlformats.org/officeDocument/2006/custom-properties" xmlns:vt="http://schemas.openxmlformats.org/officeDocument/2006/docPropsVTypes"/>
</file>