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META TITLE: FinTech Embedded Payroll Advance Platform — UK HR SaaS — ClickMasters Case Study
META DESC: A UK HR SaaS company with 1,200 employer clients and 84,000 employees on their platform wanted to embed an Ear...
SLUG: /case-studies/fintech-embedded-payroll-advance/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Last updated: August 2025  |  Reading time: 6 min  |  Written by: ClickMasters Case Study Team  |  Reviewed by: James Whitmore, CTO</w:t>
            </w:r>
          </w:p>
        </w:tc>
      </w:tr>
    </w:tbl>
    <w:p>
      <w:pPr>
        <w:spacing w:after="60" w:before="60"/>
      </w:pP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Home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Case Studies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/>
          <w:bCs/>
          <w:color w:val="1A2332"/>
          <w:sz w:val="18"/>
          <w:szCs w:val="18"/>
        </w:rPr>
        <w:t xml:space="preserve">FinTech Embedded Payroll Advance Platform — UK HR SaaS</w:t>
      </w:r>
    </w:p>
    <w:p>
      <w:pPr>
        <w:spacing w:after="60" w:before="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B1F3A"/>
          <w:sz w:val="40"/>
          <w:szCs w:val="40"/>
        </w:rPr>
        <w:t xml:space="preserve">FinTech Embedded Payroll Advance Platform — UK HR SaaS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🏭 FinTech / Earned Wage Access</w:t>
            </w:r>
          </w:p>
        </w:tc>
        <w:tc>
          <w:tcPr>
            <w:tcW w:type="dxa" w:w="225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🇬🇧 UK</w:t>
            </w:r>
          </w:p>
        </w:tc>
        <w:tc>
          <w:tcPr>
            <w:tcW w:type="dxa" w:w="225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✅ On Time</w:t>
            </w:r>
          </w:p>
        </w:tc>
        <w:tc>
          <w:tcPr>
            <w:tcW w:type="dxa" w:w="225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📋 Fixed Price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F" w:sz="1"/>
              <w:left w:val="single" w:color="EBF5FF" w:sz="1"/>
              <w:bottom w:val="single" w:color="EBF5FF" w:sz="1"/>
              <w:right w:val="single" w:color="EBF5FF" w:sz="1"/>
            </w:tcBorders>
            <w:shd w:fill="EBF5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0"/>
                <w:szCs w:val="20"/>
              </w:rPr>
              <w:t xml:space="preserve">Sector: FinTech / Earned Wage Access | Tech: React, Node.js/Fastify, PostgreSQL, HMRC RTI API, Modulr BaaS (Faster Payments), AWS eu-west-2 | Compliance: FCA Consumer Duty, FCA EWA voluntary code, HMRC RTI, UK GDPR (employee data), MLRs 2017, Cyber Essentials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The Challenge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A UK HR SaaS company with 1,200 employer clients and 84,000 employees on their platform wanted to embed an Earned Wage Access (EWA) product — allowing employees to access a proportion of their earned wages before payday. FCA Consumer Duty (EWA is a consumer financial product), FCA CONC (consumer credit — structuring to avoid credit classification), HMRC payroll integration, UK GDPR for employee financial data, and anti-money laundering (MLRs 2017) were the requirements. Budget: £100,000.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Our Approach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E8612A"/>
          <w:sz w:val="22"/>
          <w:szCs w:val="22"/>
        </w:rPr>
        <w:t xml:space="preserve">EWA FCA Regulatory Structure: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Earned Wage Access FCA classification: EWA structured correctly is not a regulated credit product (no interest, no fixed repayment schedule, employer-facilitated salary advance). FCA EWA guidance (2023): voluntary code of practice — no interest, no fees to employee, repayment via payroll only, advance limit (50% of earned wages, capped at £500). Consumer Duty: even where not technically regulated credit, Consumer Duty applies to any retail financial product. EWA product design: zero fees, zero interest, payroll-only repayment (deducted by employer from next payroll run).</w:t>
      </w: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E8612A"/>
          <w:sz w:val="22"/>
          <w:szCs w:val="22"/>
        </w:rPr>
        <w:t xml:space="preserve">HMRC Payroll Integration: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HMRC Real Time Information (RTI): payroll deductions must be reported in FPS (Full Payment Submission) on or before payment date. EWA payroll deduction: when employee takes advance, employer records the advance amount as a deduction in next payroll run. API integration: HR SaaS payroll module → EWA deduction → RTI FPS automatic inclusion. HMRC PAYE: advance is not income (not subject to income tax or NI) — it is a salary advance, repaid from gross salary. Tax treatment confirmed with HMRC Technical guidance.</w:t>
      </w: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E8612A"/>
          <w:sz w:val="22"/>
          <w:szCs w:val="22"/>
        </w:rPr>
        <w:t xml:space="preserve">Employee Financial Wellbeing Architecture: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EWA access control: employee must have worked a minimum of 3 days in current pay period before EWA access enabled. Advance limit: 50% of earned wages to date (calculated from shift/timesheet data), maximum £500 per advance, maximum 2 advances per pay period. Eligibility: employed status verified in HR SaaS (no advances for employees under notice of termination). Financial wellbeing dashboard: YTD advance history, repayment status, budget tracker (optional — not mandatory for EWA access).</w:t>
      </w: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E8612A"/>
          <w:sz w:val="22"/>
          <w:szCs w:val="22"/>
        </w:rPr>
        <w:t xml:space="preserve">UK GDPR Employee Financial Data: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Employee EWA data: wage data (sensitive employment data), advance amount, repayment status. Legal basis: legitimate interests (employer offering financial wellbeing benefit) or contract performance (payroll administration). Employee consent: opt-in to EWA product explicitly — consent is not mandatory for employment. Data minimisation: only current pay period data processed for EWA — no historical wage data stored in EWA platform (HR SaaS holds payroll history).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The Result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Platform live at 14 weeks, £92,000 — under budget. 84,000 employees with EWA access. EWA adoption rate: 18% of employees used EWA in first 6 months. Average advance: £210. Repayment default rate: 0.3% (employer payroll deduction model virtually eliminates default). FCA EWA voluntary code compliance: independently reviewed and confirmed. HR SaaS NPS uplift: +12 points attributed to EWA feature by employer clients.</w:t>
      </w: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4EDDA" w:sz="1"/>
              <w:left w:val="single" w:color="D4EDDA" w:sz="1"/>
              <w:bottom w:val="single" w:color="D4EDDA" w:sz="1"/>
              <w:right w:val="single" w:color="D4EDDA" w:sz="1"/>
            </w:tcBorders>
            <w:shd w:fill="D4EDD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B1F3A"/>
                <w:sz w:val="22"/>
                <w:szCs w:val="22"/>
              </w:rPr>
              <w:t xml:space="preserve">"18% EWA adoption in 6 months. 0.3% default rate — the payroll deduction model is why. NPS up 12 points from the EWA feature alone — employer clients now cite it as a reason they chose our HR SaaS. The FCA voluntary code compliance review gave us confidence to scale." — CPO, UK HR SaaS Company (name withheld)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rPr>
          <w:tblHeader/>
        </w:trPr>
        <w:tc>
          <w:tcPr>
            <w:tcW w:type="dxa" w:w="28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6226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2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Technologies</w:t>
            </w:r>
          </w:p>
        </w:tc>
        <w:tc>
          <w:tcPr>
            <w:tcW w:type="dxa" w:w="6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React, Node.js/Fastify, PostgreSQL, HMRC RTI API, Modulr BaaS (Faster Payments), AWS eu-west-2</w:t>
            </w:r>
          </w:p>
        </w:tc>
      </w:tr>
      <w:tr>
        <w:tc>
          <w:tcPr>
            <w:tcW w:type="dxa" w:w="2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Compliance</w:t>
            </w:r>
          </w:p>
        </w:tc>
        <w:tc>
          <w:tcPr>
            <w:tcW w:type="dxa" w:w="6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FCA Consumer Duty, FCA EWA voluntary code, HMRC RTI, UK GDPR (employee data), MLRs 2017, Cyber Essentials</w:t>
            </w:r>
          </w:p>
        </w:tc>
      </w:tr>
      <w:tr>
        <w:tc>
          <w:tcPr>
            <w:tcW w:type="dxa" w:w="2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Contract</w:t>
            </w:r>
          </w:p>
        </w:tc>
        <w:tc>
          <w:tcPr>
            <w:tcW w:type="dxa" w:w="6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Fixed-price Agile</w:t>
            </w:r>
          </w:p>
        </w:tc>
      </w:tr>
      <w:tr>
        <w:tc>
          <w:tcPr>
            <w:tcW w:type="dxa" w:w="2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IP</w:t>
            </w:r>
          </w:p>
        </w:tc>
        <w:tc>
          <w:tcPr>
            <w:tcW w:type="dxa" w:w="6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100% transferred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Related Pages</w:t>
            </w:r>
          </w:p>
        </w:tc>
      </w:tr>
    </w:tbl>
    <w:p>
      <w:pPr>
        <w:spacing w:after="60" w:before="6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Custom Software Development UK: /custom-software-development/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Case Studies: /case-studies/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612A" w:sz="1"/>
              <w:left w:val="single" w:color="E8612A" w:sz="1"/>
              <w:bottom w:val="single" w:color="E8612A" w:sz="1"/>
              <w:right w:val="single" w:color="E8612A" w:sz="1"/>
            </w:tcBorders>
            <w:shd w:fill="0B1F3A" w:val="clear"/>
            <w:tcMar>
              <w:top w:type="dxa" w:w="240"/>
              <w:left w:type="dxa" w:w="280"/>
              <w:bottom w:type="dxa" w:w="240"/>
              <w:right w:type="dxa" w:w="28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Build Something Similar</w:t>
            </w:r>
          </w:p>
          <w:p>
            <w:pPr>
              <w:spacing w:after="160" w:before="0"/>
            </w:pPr>
            <w:r>
              <w:rPr>
                <w:rFonts w:ascii="Arial" w:cs="Arial" w:eastAsia="Arial" w:hAnsi="Arial"/>
                <w:color w:val="BDD0E8"/>
                <w:sz w:val="22"/>
                <w:szCs w:val="22"/>
              </w:rPr>
              <w:t xml:space="preserve">Book a free consultation.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2"/>
                <w:szCs w:val="22"/>
              </w:rPr>
              <w:t xml:space="preserve">→ clickmasterssoftwaredevelopmentcompany.co.uk/contact/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Article | earned wage access software uk, embedded payroll advance platform uk, fintech hr saas uk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60" w:before="60"/>
        <w:ind w:left="720" w:hanging="360"/>
      </w:pPr>
      <w:rPr>
        <w:rFonts w:ascii="Arial" w:cs="Arial" w:eastAsia="Arial" w:hAnsi="Arial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spacing w:after="60" w:before="60"/>
        <w:ind w:left="720" w:hanging="360"/>
      </w:pPr>
      <w:rPr>
        <w:rFonts w:ascii="Arial" w:cs="Arial" w:eastAsia="Arial" w:hAnsi="Arial"/>
        <w:color w:val="1A4A8A"/>
        <w:sz w:val="22"/>
        <w:szCs w:val="22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✓"/>
      <w:lvlJc w:val="left"/>
      <w:pPr>
        <w:spacing w:after="60" w:before="60"/>
        <w:ind w:left="720" w:hanging="360"/>
      </w:pPr>
      <w:rPr>
        <w:rFonts w:ascii="Arial" w:cs="Arial" w:eastAsia="Arial" w:hAnsi="Arial"/>
        <w:b/>
        <w:bCs/>
        <w:color w:val="1A6B47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60" w:before="360"/>
      <w:outlineLvl w:val="0"/>
    </w:pPr>
    <w:rPr>
      <w:rFonts w:ascii="Arial" w:cs="Arial" w:eastAsia="Arial" w:hAnsi="Arial"/>
      <w:b/>
      <w:bCs/>
      <w:color w:val="0B1F3A"/>
      <w:sz w:val="40"/>
      <w:szCs w:val="40"/>
    </w:rPr>
  </w:style>
  <w:style w:type="paragraph" w:styleId="Heading2">
    <w:name w:val="Heading 2"/>
    <w:basedOn w:val="Normal"/>
    <w:next w:val="Normal"/>
    <w:pPr>
      <w:spacing w:after="140" w:before="300"/>
      <w:outlineLvl w:val="1"/>
    </w:pPr>
    <w:rPr>
      <w:rFonts w:ascii="Arial" w:cs="Arial" w:eastAsia="Arial" w:hAnsi="Arial"/>
      <w:b/>
      <w:bCs/>
      <w:color w:val="0B1F3A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2026-05-29T13:36:27.857Z</dcterms:created>
  <dcterms:modified xsi:type="dcterms:W3CDTF">2026-05-29T13:36:27.857Z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