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PropTech Residential Sales CRM — UK Estate Agency Group — ClickMasters Case Study
META DESC: A UK national estate agency group with 240 branches, 1,800 negotiators, and £4.2B annual residential sales nee...
SLUG: /case-studies/proptech-residential-sales-crm/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PropTech Residential Sales CRM — UK Estate Agency Group</w:t>
      </w:r>
    </w:p>
    <w:p>
      <w:pPr>
        <w:spacing w:after="60" w:before="60"/>
      </w:pPr>
    </w:p>
    <w:p>
      <w:pPr>
        <w:pStyle w:val="Heading1"/>
        <w:spacing w:after="160" w:before="360"/>
      </w:pPr>
      <w:r>
        <w:rPr>
          <w:rFonts w:ascii="Arial" w:cs="Arial" w:eastAsia="Arial" w:hAnsi="Arial"/>
          <w:b/>
          <w:bCs/>
          <w:color w:val="0B1F3A"/>
          <w:sz w:val="40"/>
          <w:szCs w:val="40"/>
        </w:rPr>
        <w:t xml:space="preserve">PropTech Residential Sales CRM — UK Estate Agency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PropTech / Estate Agency</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PropTech / Estate Agency | Tech: React, Node.js/Fastify, PostgreSQL, Rightmove RTDF, Zoopla Feed, HMLR Price Paid API, OS Places API, WhatsApp Business API, Onfido, Dow Jones, AWS eu-west-2 | Compliance: TPO (Property Ombudsman) code of practice, MLRs 2017 AML/KYC, UK GDPR, HMRC SDLT guidance,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national estate agency group with 240 branches, 1,800 negotiators, and £4.2B annual residential sales needed to replace their legacy Reapit CRM (18-year-old installation) with a modern cloud-native CRM — integrating Rightmove and Zoopla portals, automated valuation data (OS Places API, Land Registry price paid), and WhatsApp Business for client communication. Property Ombudsman (TPO) compliance, UK GDPR for buyer and vendor personal data, HMRC SDLT (Stamp Duty Land Tax) guidance integration, and Money Laundering Regulations 2017 KYC were the requirements. Budget: £160,000.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Property Portal API Integration: </w:t>
      </w:r>
      <w:r>
        <w:rPr>
          <w:rFonts w:ascii="Arial" w:cs="Arial" w:eastAsia="Arial" w:hAnsi="Arial"/>
          <w:b w:val="false"/>
          <w:bCs w:val="false"/>
          <w:i w:val="false"/>
          <w:iCs w:val="false"/>
          <w:color w:val="1A2332"/>
          <w:sz w:val="22"/>
          <w:szCs w:val="22"/>
        </w:rPr>
        <w:t xml:space="preserve">Rightmove Data Feed: properties submitted via Rightmove RTDF (Real Time Data Feed) XML — property details, photos, floorplans, EPC. Zoopla Property Feed: XML submission, similar structure. Automated portal sync: property instruction → CRM → automatic portal submission within 15 minutes. Price reduction: portal update within 5 minutes of price change in CRM (competitive advantage — Rightmove shows "Just Reduced" badge). Listing performance analytics: Rightmove Analytics API — views, saves, contact rate per listing.</w:t>
      </w:r>
    </w:p>
    <w:p>
      <w:pPr>
        <w:spacing w:after="160" w:before="100"/>
      </w:pPr>
      <w:r>
        <w:rPr>
          <w:rFonts w:ascii="Arial" w:cs="Arial" w:eastAsia="Arial" w:hAnsi="Arial"/>
          <w:b/>
          <w:bCs/>
          <w:i w:val="false"/>
          <w:iCs w:val="false"/>
          <w:color w:val="E8612A"/>
          <w:sz w:val="22"/>
          <w:szCs w:val="22"/>
        </w:rPr>
        <w:t xml:space="preserve">Automated Valuation and Land Registry Integration: </w:t>
      </w:r>
      <w:r>
        <w:rPr>
          <w:rFonts w:ascii="Arial" w:cs="Arial" w:eastAsia="Arial" w:hAnsi="Arial"/>
          <w:b w:val="false"/>
          <w:bCs w:val="false"/>
          <w:i w:val="false"/>
          <w:iCs w:val="false"/>
          <w:color w:val="1A2332"/>
          <w:sz w:val="22"/>
          <w:szCs w:val="22"/>
        </w:rPr>
        <w:t xml:space="preserve">HMLR Price Paid Data API: comparable sale prices for subject property by postcode and property type (3-bed semi in postcode X: last 10 sales). OS Places API: UPRN (Unique Property Reference Number) → property type, build date, EPC rating, and address verification. Automated valuation report: comparable sales map + property details + suggested asking price range — generated automatically for valuation appointments. Valuer note: automated report is a starting point — valuer override with justification required.</w:t>
      </w:r>
    </w:p>
    <w:p>
      <w:pPr>
        <w:spacing w:after="160" w:before="100"/>
      </w:pPr>
      <w:r>
        <w:rPr>
          <w:rFonts w:ascii="Arial" w:cs="Arial" w:eastAsia="Arial" w:hAnsi="Arial"/>
          <w:b/>
          <w:bCs/>
          <w:i w:val="false"/>
          <w:iCs w:val="false"/>
          <w:color w:val="E8612A"/>
          <w:sz w:val="22"/>
          <w:szCs w:val="22"/>
        </w:rPr>
        <w:t xml:space="preserve">WhatsApp Business API for Client Communication: </w:t>
      </w:r>
      <w:r>
        <w:rPr>
          <w:rFonts w:ascii="Arial" w:cs="Arial" w:eastAsia="Arial" w:hAnsi="Arial"/>
          <w:b w:val="false"/>
          <w:bCs w:val="false"/>
          <w:i w:val="false"/>
          <w:iCs w:val="false"/>
          <w:color w:val="1A2332"/>
          <w:sz w:val="22"/>
          <w:szCs w:val="22"/>
        </w:rPr>
        <w:t xml:space="preserve">WhatsApp Business Platform (Meta): template messages (approved by Meta — for transactional updates: viewing confirmation, offer received, sale progressed, completion date). Two-way conversation: negotiator and buyer/vendor communicate via WhatsApp through the CRM (conversation logged, GDPR-compliant). Open rates: WhatsApp template messages: 98% open rate vs 22% email (UK estate agency benchmark). TPO compliance: all client communications logged in CRM — audit trail for complaint resolution.</w:t>
      </w:r>
    </w:p>
    <w:p>
      <w:pPr>
        <w:spacing w:after="160" w:before="100"/>
      </w:pPr>
      <w:r>
        <w:rPr>
          <w:rFonts w:ascii="Arial" w:cs="Arial" w:eastAsia="Arial" w:hAnsi="Arial"/>
          <w:b/>
          <w:bCs/>
          <w:i w:val="false"/>
          <w:iCs w:val="false"/>
          <w:color w:val="E8612A"/>
          <w:sz w:val="22"/>
          <w:szCs w:val="22"/>
        </w:rPr>
        <w:t xml:space="preserve">AML/KYC for Estate Agency: </w:t>
      </w:r>
      <w:r>
        <w:rPr>
          <w:rFonts w:ascii="Arial" w:cs="Arial" w:eastAsia="Arial" w:hAnsi="Arial"/>
          <w:b w:val="false"/>
          <w:bCs w:val="false"/>
          <w:i w:val="false"/>
          <w:iCs w:val="false"/>
          <w:color w:val="1A2332"/>
          <w:sz w:val="22"/>
          <w:szCs w:val="22"/>
        </w:rPr>
        <w:t xml:space="preserve">MLRs 2017: estate agents must conduct AML checks on vendors and buyers at point of sale. KYC: Onfido identity verification (passport/driving licence + selfie) — integrated in CRM vendor onboarding. Source of funds: source of funds declaration for purchases above £50,000 (enhanced due diligence). PEP and sanctions screening: Dow Jones Watchlist API — automatic screening on every client. Suspicious Activity Report (SAR): CRM prompts negotiator to file SAR if suspicious activity detected during transaction.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CRM live at 20 weeks, £148,000 — under budget. Portal submission time: 2 hours (manual) → 14 minutes (automated). Rightmove listing analytics: average views per listing increased 34% (faster portal publishing + price reduction badge). WhatsApp adoption: 72% of clients communicating via WhatsApp within 3 months. AML compliance: 100% KYC completion rate (previously 82% — 18% incomplete checks exposed to TPO sanction). Negotiator satisfaction: 4.4/5 (previous CRM: 2.1/5).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"WhatsApp 98% open rate versus 22% email — every other estate agency is still emailing. 34% more views per listing from faster portal publishing. AML compliance from 82% to 100% — the 18% gap was a TPO sanction waiting to happen. Negotiator satisfaction 2.1 to 4.4 — that is the metric the MD cared most about." — Group Operations Director, UK Estate Agency Group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Rightmove RTDF, Zoopla Feed, HMLR Price Paid API, OS Places API, WhatsApp Business API, Onfido, Dow Jones,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TPO (Property Ombudsman) code of practice, MLRs 2017 AML/KYC, UK GDPR, HMRC SDLT guidance,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estate agency crm software uk, proptech residential sales platform uk, rightmove api integration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2026-05-29T13:46:21.580Z</dcterms:created>
  <dcterms:modified xsi:type="dcterms:W3CDTF">2026-05-29T13:46:21.580Z</dcterms:modified>
</cp:coreProperties>
</file>

<file path=docProps/custom.xml><?xml version="1.0" encoding="utf-8"?>
<Properties xmlns="http://schemas.openxmlformats.org/officeDocument/2006/custom-properties" xmlns:vt="http://schemas.openxmlformats.org/officeDocument/2006/docPropsVTypes"/>
</file>