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Telematics Motor Insurance Platform — UK MGA — ClickMasters Case Study
META DESC: A UK Managing General Agent (MGA) writing motor insurance for 28,000 policies via a telematics-based pricing m...
SLUG: /case-studies/insurtech-telematics-motor-insurance-mga/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Telematics Motor Insurance Platform — UK MGA</w:t>
      </w:r>
    </w:p>
    <w:p>
      <w:pPr>
        <w:spacing w:after="60" w:before="60"/>
      </w:pPr>
    </w:p>
    <w:p>
      <w:pPr>
        <w:pStyle w:val="Heading1"/>
        <w:spacing w:after="160" w:before="360"/>
      </w:pPr>
      <w:r>
        <w:rPr>
          <w:rFonts w:ascii="Arial" w:cs="Arial" w:eastAsia="Arial" w:hAnsi="Arial"/>
          <w:b/>
          <w:bCs/>
          <w:color w:val="0B1F3A"/>
          <w:sz w:val="40"/>
          <w:szCs w:val="40"/>
        </w:rPr>
        <w:t xml:space="preserve">InsurTech Telematics Motor Insurance Platform — UK MGA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Telematics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Telematics | Tech: React Native (iOS/Android), React, Node.js/Fastify, AWS Kinesis, DynamoDB, S3, SageMaker, Arity SDK, AWS eu-west-2 | Compliance: FCA ICOBS, FCA Consumer Duty, ICO employee monitoring guidance, UK GDPR (telematics data), FCA record-keeping requirements,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Managing General Agent (MGA) writing motor insurance for 28,000 policies via a telematics-based pricing model (pay-how-you-drive) wanted to rebuild their legacy telematics platform — which used a proprietary OBD device. The new platform needed to use smartphone telematics (iOS/Android — eliminating hardware cost), process 420 million driving events per month, FCA ICOBS consumer pricing transparency, UK GDPR for driver behaviour data, and ICO guidance on employee monitoring (for commercial fleet products) were the requirements.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Smartphone Telematics SDK Integration: </w:t>
      </w:r>
      <w:r>
        <w:rPr>
          <w:rFonts w:ascii="Arial" w:cs="Arial" w:eastAsia="Arial" w:hAnsi="Arial"/>
          <w:b w:val="false"/>
          <w:bCs w:val="false"/>
          <w:i w:val="false"/>
          <w:iCs w:val="false"/>
          <w:color w:val="1A2332"/>
          <w:sz w:val="22"/>
          <w:szCs w:val="22"/>
        </w:rPr>
        <w:t xml:space="preserve">Telematics SDK: Arity (Allstate subsidiary) SDK for iOS (CoreMotion, CoreLocation) and Android (Sensor Fusion API). Events captured: trip start/end, speed (GPS), acceleration/braking (accelerometer), cornering (gyroscope), phone usage while driving (screen on/off, gyroscope). Privacy: ICO guidance — driver monitoring data is sensitive personal data even if not special category. Legal basis: contract performance (telematics policy is based on driving data). GDPR: driving data retained for policy term + 7 years (FCA record-keeping), then deleted.</w:t>
      </w:r>
    </w:p>
    <w:p>
      <w:pPr>
        <w:spacing w:after="160" w:before="100"/>
      </w:pPr>
      <w:r>
        <w:rPr>
          <w:rFonts w:ascii="Arial" w:cs="Arial" w:eastAsia="Arial" w:hAnsi="Arial"/>
          <w:b/>
          <w:bCs/>
          <w:i w:val="false"/>
          <w:iCs w:val="false"/>
          <w:color w:val="E8612A"/>
          <w:sz w:val="22"/>
          <w:szCs w:val="22"/>
        </w:rPr>
        <w:t xml:space="preserve">High-Volume Telematics Data Pipeline: </w:t>
      </w:r>
      <w:r>
        <w:rPr>
          <w:rFonts w:ascii="Arial" w:cs="Arial" w:eastAsia="Arial" w:hAnsi="Arial"/>
          <w:b w:val="false"/>
          <w:bCs w:val="false"/>
          <w:i w:val="false"/>
          <w:iCs w:val="false"/>
          <w:color w:val="1A2332"/>
          <w:sz w:val="22"/>
          <w:szCs w:val="22"/>
        </w:rPr>
        <w:t xml:space="preserve">420 million events/month = 140,000 events/minute at peak. Architecture: mobile SDK → AWS Kinesis Data Streams (partitioned by policy ID) → Lambda (event processing + trip assembly) → DynamoDB (trip records) → S3 (raw event archive). Trip scoring: Lambda + SageMaker (ML model — driving score 0–100 from speed, acceleration, braking, cornering, time-of-day, distance). Scoring latency: trip score available within 5 minutes of trip completion.</w:t>
      </w:r>
    </w:p>
    <w:p>
      <w:pPr>
        <w:spacing w:after="160" w:before="100"/>
      </w:pPr>
      <w:r>
        <w:rPr>
          <w:rFonts w:ascii="Arial" w:cs="Arial" w:eastAsia="Arial" w:hAnsi="Arial"/>
          <w:b/>
          <w:bCs/>
          <w:i w:val="false"/>
          <w:iCs w:val="false"/>
          <w:color w:val="E8612A"/>
          <w:sz w:val="22"/>
          <w:szCs w:val="22"/>
        </w:rPr>
        <w:t xml:space="preserve">FCA ICOBS Dynamic Pricing Transparency: </w:t>
      </w:r>
      <w:r>
        <w:rPr>
          <w:rFonts w:ascii="Arial" w:cs="Arial" w:eastAsia="Arial" w:hAnsi="Arial"/>
          <w:b w:val="false"/>
          <w:bCs w:val="false"/>
          <w:i w:val="false"/>
          <w:iCs w:val="false"/>
          <w:color w:val="1A2332"/>
          <w:sz w:val="22"/>
          <w:szCs w:val="22"/>
        </w:rPr>
        <w:t xml:space="preserve">ICOBS 6: price for telematics product must be clearly explained — how driving score affects premium. Pricing dashboard: driver sees their score, component breakdown (speed 30%, acceleration 20%, braking 20%, cornering 15%, time-of-day 15%), and projected renewal premium based on current driving. FCA Consumer Duty: value assessment — telematics pricing must demonstrate fair value vs standard non-telematics premium (telematics driver with good score must achieve meaningful discount).</w:t>
      </w:r>
    </w:p>
    <w:p>
      <w:pPr>
        <w:spacing w:after="160" w:before="100"/>
      </w:pPr>
      <w:r>
        <w:rPr>
          <w:rFonts w:ascii="Arial" w:cs="Arial" w:eastAsia="Arial" w:hAnsi="Arial"/>
          <w:b/>
          <w:bCs/>
          <w:i w:val="false"/>
          <w:iCs w:val="false"/>
          <w:color w:val="E8612A"/>
          <w:sz w:val="22"/>
          <w:szCs w:val="22"/>
        </w:rPr>
        <w:t xml:space="preserve">Fraud Detection and Policy Management: </w:t>
      </w:r>
      <w:r>
        <w:rPr>
          <w:rFonts w:ascii="Arial" w:cs="Arial" w:eastAsia="Arial" w:hAnsi="Arial"/>
          <w:b w:val="false"/>
          <w:bCs w:val="false"/>
          <w:i w:val="false"/>
          <w:iCs w:val="false"/>
          <w:color w:val="1A2332"/>
          <w:sz w:val="22"/>
          <w:szCs w:val="22"/>
        </w:rPr>
        <w:t xml:space="preserve">Mileage fraud: GPS mileage vs declared mileage at policy inception — automatic flag if &gt; 20% discrepancy. Trip spoofing: accelerometer pattern analysis detects plugged-in phone vs carried-in-vehicle (different vibration signature). FCA Consumer Duty vulnerability: if driving score suddenly deteriorates (job loss, illness causing changed driving patterns), flag for underwriter review rather than automatic cancellation. Policy mid-term adjustment: driving score below threshold → automated letter with required improvement period before renewal consideration.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£118,000 — under budget. OBD hardware cost eliminated: £42 per policy saving → £1.17M annual saving across 28,000 policies. Telematics data processing: 420M events/month, p95 trip scoring latency 3.8 minutes. Mileage fraud detection: 340 flagged policies in first 6 months. FCA ICOBS pricing transparency review: confirmed compliant. Policy retention (good drivers): 84% vs industry benchmark 71% — telematics creating loyalty.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"£1.17M annual saving from eliminating OBD hardware. 84% retention for good drivers versus 71% industry benchmark — telematics creating the loyalty we expected. 340 mileage fraud detections in 6 months. FCA pricing transparency review confirmed compliant on first submission." — CEO, UK Motor Insurance MGA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(iOS/Android), React, Node.js/Fastify, AWS Kinesis, DynamoDB, S3, SageMaker, Arity SDK,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FCA Consumer Duty, ICO employee monitoring guidance, UK GDPR (telematics data), FCA record-keeping requirements,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telematics insurance software uk, smartphone telematics platform uk, insurtech motor insurance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2026-05-29T13:55:11.676Z</dcterms:created>
  <dcterms:modified xsi:type="dcterms:W3CDTF">2026-05-29T13:55:11.676Z</dcterms:modified>
</cp:coreProperties>
</file>

<file path=docProps/custom.xml><?xml version="1.0" encoding="utf-8"?>
<Properties xmlns="http://schemas.openxmlformats.org/officeDocument/2006/custom-properties" xmlns:vt="http://schemas.openxmlformats.org/officeDocument/2006/docPropsVTypes"/>
</file>