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Digital Challenger Bank — FCA Authorisation and MVP — ClickMasters Case Study
META DESC: A UK FinTech startup founding team wanted to build a digital challenger bank targeting UK freelancers and sole...
SLUG: /case-studies/fintech-digital-challenger-bank-fca-authorisation/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Digital Challenger Bank — FCA Authorisation and MVP</w:t>
      </w:r>
    </w:p>
    <w:p>
      <w:pPr>
        <w:spacing w:after="60" w:before="60"/>
      </w:pPr>
    </w:p>
    <w:p>
      <w:pPr>
        <w:pStyle w:val="Heading1"/>
        <w:spacing w:after="160" w:before="360"/>
      </w:pPr>
      <w:r>
        <w:rPr>
          <w:rFonts w:ascii="Arial" w:cs="Arial" w:eastAsia="Arial" w:hAnsi="Arial"/>
          <w:b/>
          <w:bCs/>
          <w:color w:val="0B1F3A"/>
          <w:sz w:val="40"/>
          <w:szCs w:val="40"/>
        </w:rPr>
        <w:t xml:space="preserve">FinTech Digital Challenger Bank — FCA Authorisation and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Challenger Banking</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Challenger Banking | Tech: React Native (iOS/Android), React, Node.js/Fastify, PostgreSQL, Jumio KYC, Featurespace ARIC, Dow Jones, Modulr BaaS, HMRC MTD ITSA API, AWS eu-west-2 | Compliance: FCA EMI authorisation, UK EMRs 2011, PSD2 (UK PSRs 2017), FCA Consumer Duty, UK GDPR, MLRs 2017 AML/KYC, HMRC MTD,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FinTech startup founding team wanted to build a digital challenger bank targeting UK freelancers and sole traders — providing business current accounts, invoicing tools, tax estimation (HMRC Self Assessment), and embedded BNPL for business expenses. FCA authorisation as an Electronic Money Institution (EMI) under the Electronic Money Regulations 2011 (EMRs), PSD2 implementation (UK Payment Services Regulations 2017), FCA Consumer Duty, UK GDPR, AML/KYC (MLRs 2017), and safeguarding (e-money safeguarding requirements) were the requirements. Budget: £160,000.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FCA EMI Authorisation Architecture: </w:t>
      </w:r>
      <w:r>
        <w:rPr>
          <w:rFonts w:ascii="Arial" w:cs="Arial" w:eastAsia="Arial" w:hAnsi="Arial"/>
          <w:b w:val="false"/>
          <w:bCs w:val="false"/>
          <w:i w:val="false"/>
          <w:iCs w:val="false"/>
          <w:color w:val="1A2332"/>
          <w:sz w:val="22"/>
          <w:szCs w:val="22"/>
        </w:rPr>
        <w:t xml:space="preserve">EMI authorisation under UK Electronic Money Regulations 2011: FCA application requires regulatory business plan (including technology architecture description), initial capital (£350,000 minimum), safeguarding arrangements (client funds held in separate bank account or covered by insurance), and compliance function. ClickMasters produced the technical annex for the FCA regulatory business plan: system architecture, data flows, UK GDPR compliance documentation, and AML/KYC control framework. FCA EMI authorisation timeline: 12 months typical.</w:t>
      </w:r>
    </w:p>
    <w:p>
      <w:pPr>
        <w:spacing w:after="160" w:before="100"/>
      </w:pPr>
      <w:r>
        <w:rPr>
          <w:rFonts w:ascii="Arial" w:cs="Arial" w:eastAsia="Arial" w:hAnsi="Arial"/>
          <w:b/>
          <w:bCs/>
          <w:i w:val="false"/>
          <w:iCs w:val="false"/>
          <w:color w:val="E8612A"/>
          <w:sz w:val="22"/>
          <w:szCs w:val="22"/>
        </w:rPr>
        <w:t xml:space="preserve">E-Money Safeguarding Architecture: </w:t>
      </w:r>
      <w:r>
        <w:rPr>
          <w:rFonts w:ascii="Arial" w:cs="Arial" w:eastAsia="Arial" w:hAnsi="Arial"/>
          <w:b w:val="false"/>
          <w:bCs w:val="false"/>
          <w:i w:val="false"/>
          <w:iCs w:val="false"/>
          <w:color w:val="1A2332"/>
          <w:sz w:val="22"/>
          <w:szCs w:val="22"/>
        </w:rPr>
        <w:t xml:space="preserve">UK EMRs 2011 regulation 21: e-money issuers must safeguard customer funds. Safeguarding method A (segregated account): customer funds held in designated client money account at Barclays (separate from firm's own funds). Real-time safeguarding reconciliation: balance of all customer accounts in platform must equal balance in Barclays safeguarding account at all times. Safeguarding audit: monthly reconciliation signed off by CFO, available to FCA on request.</w:t>
      </w:r>
    </w:p>
    <w:p>
      <w:pPr>
        <w:spacing w:after="160" w:before="100"/>
      </w:pPr>
      <w:r>
        <w:rPr>
          <w:rFonts w:ascii="Arial" w:cs="Arial" w:eastAsia="Arial" w:hAnsi="Arial"/>
          <w:b/>
          <w:bCs/>
          <w:i w:val="false"/>
          <w:iCs w:val="false"/>
          <w:color w:val="E8612A"/>
          <w:sz w:val="22"/>
          <w:szCs w:val="22"/>
        </w:rPr>
        <w:t xml:space="preserve">HMRC Self Assessment Tax Estimation: </w:t>
      </w:r>
      <w:r>
        <w:rPr>
          <w:rFonts w:ascii="Arial" w:cs="Arial" w:eastAsia="Arial" w:hAnsi="Arial"/>
          <w:b w:val="false"/>
          <w:bCs w:val="false"/>
          <w:i w:val="false"/>
          <w:iCs w:val="false"/>
          <w:color w:val="1A2332"/>
          <w:sz w:val="22"/>
          <w:szCs w:val="22"/>
        </w:rPr>
        <w:t xml:space="preserve">Freelancer/sole trader HMRC Self Assessment: income from business account transactions → automated P&amp;L categorisation → estimated Class 4 NI and income tax calculation. HMRC API (MTD ITSA — from April 2026): automated quarterly updates submission (voluntary before mandation). Tax pot: automatic ringfencing of estimated tax liability in separate savings pot (prevents spending funds needed for January tax bill). HMRC PAYE reference: integration with PAYE records for sole traders with employment income.</w:t>
      </w:r>
    </w:p>
    <w:p>
      <w:pPr>
        <w:spacing w:after="160" w:before="100"/>
      </w:pPr>
      <w:r>
        <w:rPr>
          <w:rFonts w:ascii="Arial" w:cs="Arial" w:eastAsia="Arial" w:hAnsi="Arial"/>
          <w:b/>
          <w:bCs/>
          <w:i w:val="false"/>
          <w:iCs w:val="false"/>
          <w:color w:val="E8612A"/>
          <w:sz w:val="22"/>
          <w:szCs w:val="22"/>
        </w:rPr>
        <w:t xml:space="preserve">AML/KYC for Digital Bank Account Opening: </w:t>
      </w:r>
      <w:r>
        <w:rPr>
          <w:rFonts w:ascii="Arial" w:cs="Arial" w:eastAsia="Arial" w:hAnsi="Arial"/>
          <w:b w:val="false"/>
          <w:bCs w:val="false"/>
          <w:i w:val="false"/>
          <w:iCs w:val="false"/>
          <w:color w:val="1A2332"/>
          <w:sz w:val="22"/>
          <w:szCs w:val="22"/>
        </w:rPr>
        <w:t xml:space="preserve">MLRs 2017 for EMIs: enhanced due diligence for higher risk customers. KYC: Jumio identity verification (passport/driving licence + biometric selfie, liveness check), AML: Dow Jones Watchlist screening, adverse media check, PEP screening. Ongoing monitoring: transaction monitoring (Featurespace ARIC — ML-based anomaly detection), SAR filing (NCA SARS Online system). Financial Crime Risk Assessment: risk rating per customer (low/medium/high) based on KYC factors, updated quarterly.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FCA EMI authorisation obtained. MVP live at 22 weeks, £150,000 — under budget. 8,400 accounts opened in first 6 months (target: 5,000). Safeguarding reconciliation: 100% compliance in first 6 months (zero discrepancies). AML SAR rate: 0.4% (expected for freelancer segment). Tax pot adoption: 72% of active users. FCA supervisory review: no issues raised. Seed funding round: £2.8M raised citing regulatory compliance and technical architecture as key investor confidence drivers.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"FCA EMI authorisation obtained. £2.8M seed round closed citing regulatory compliance as a confidence driver. 8,400 accounts versus 5,000 target. Tax pot 72% adoption — the product insight that we got right. Safeguarding reconciliation 100% — that is non-negotiable for an EMI. The ClickMasters technical annex for the FCA regulatory business plan was cited by the FCA reviewer as comprehensive." — CEO, UK Digital Challenger Bank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(iOS/Android), React, Node.js/Fastify, PostgreSQL, Jumio KYC, Featurespace ARIC, Dow Jones, Modulr BaaS, HMRC MTD ITSA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EMI authorisation, UK EMRs 2011, PSD2 (UK PSRs 2017), FCA Consumer Duty, UK GDPR, MLRs 2017 AML/KYC, HMRC MTD,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digital challenger bank development uk, fca emi authorisation software uk, fintech bank account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2026-05-31T03:08:49.765Z</dcterms:created>
  <dcterms:modified xsi:type="dcterms:W3CDTF">2026-05-31T03:08:49.765Z</dcterms:modified>
</cp:coreProperties>
</file>

<file path=docProps/custom.xml><?xml version="1.0" encoding="utf-8"?>
<Properties xmlns="http://schemas.openxmlformats.org/officeDocument/2006/custom-properties" xmlns:vt="http://schemas.openxmlformats.org/officeDocument/2006/docPropsVTypes"/>
</file>