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LegalTech Contract Lifecycle Management Platform — UK Law Firm — ClickMasters Case Study
META DESC: A UK top-50 commercial law firm with 1,800 lawyers, 4,200 active contracts under management (for commercial cl...
SLUG: /case-studies/legaltech-contract-lifecycle-management/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LegalTech Contract Lifecycle Management Platform — UK Law Firm</w:t>
      </w:r>
    </w:p>
    <w:p>
      <w:pPr>
        <w:spacing w:after="60" w:before="60"/>
      </w:pPr>
    </w:p>
    <w:p>
      <w:pPr>
        <w:pStyle w:val="Heading1"/>
        <w:spacing w:after="160" w:before="360"/>
      </w:pPr>
      <w:r>
        <w:rPr>
          <w:rFonts w:ascii="Arial" w:cs="Arial" w:eastAsia="Arial" w:hAnsi="Arial"/>
          <w:b/>
          <w:bCs/>
          <w:color w:val="0B1F3A"/>
          <w:sz w:val="40"/>
          <w:szCs w:val="40"/>
        </w:rPr>
        <w:t xml:space="preserve">LegalTech Contract Lifecycle Management Platform — UK Law 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LegalTech / Contract Management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LegalTech / Contract Management | Tech: React, Node.js/Fastify, PostgreSQL, Claude API (claude-sonnet-4-20250514), iManage Work 10 API, GOV.UK Notify, AWS eu-west-2 | Compliance: SRA Code of Conduct, Legal Professional Privilege, UK GDPR (counterparty data), WCAG 2.1 AA, Cyber Essentials Plus, ISO 27001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top-50 commercial law firm with 1,800 lawyers, 4,200 active contracts under management (for commercial clients), and an estimated £3.2M annual cost of contract administration (drafting, negotiation tracking, obligation monitoring, and renewal management) needed a digital Contract Lifecycle Management (CLM) platform. SRA Code of Conduct (contract confidentiality), Legal Professional Privilege, UK GDPR for contract counterparty data, WCAG 2.1 AA, and Legal Information Foundation UK Contracts Register requirements were mandatory. Budget: £130,000.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AI Contract Analysis and Extraction: </w:t>
      </w:r>
      <w:r>
        <w:rPr>
          <w:rFonts w:ascii="Arial" w:cs="Arial" w:eastAsia="Arial" w:hAnsi="Arial"/>
          <w:b w:val="false"/>
          <w:bCs w:val="false"/>
          <w:i w:val="false"/>
          <w:iCs w:val="false"/>
          <w:color w:val="1A2332"/>
          <w:sz w:val="22"/>
          <w:szCs w:val="22"/>
        </w:rPr>
        <w:t xml:space="preserve">AI contract analysis: Claude API (claude-sonnet-4-20250514) instructed to extract structured data from uploaded contracts. Extracted fields: parties (name, registered address, company number), effective date, expiry date, governing law, jurisdiction, payment terms, liability caps, termination rights, renewal options, and key obligations. Confidence scoring: AI extraction provides confidence score per field — low-confidence fields flagged for lawyer review. Template recognition: AI classifies contract type (NDA, SLA, Supply Agreement, Employment — 94% accuracy) to apply appropriate extraction schema.</w:t>
      </w:r>
    </w:p>
    <w:p>
      <w:pPr>
        <w:spacing w:after="160" w:before="100"/>
      </w:pPr>
      <w:r>
        <w:rPr>
          <w:rFonts w:ascii="Arial" w:cs="Arial" w:eastAsia="Arial" w:hAnsi="Arial"/>
          <w:b/>
          <w:bCs/>
          <w:i w:val="false"/>
          <w:iCs w:val="false"/>
          <w:color w:val="E8612A"/>
          <w:sz w:val="22"/>
          <w:szCs w:val="22"/>
        </w:rPr>
        <w:t xml:space="preserve">Obligation Monitoring and Deadline Management: </w:t>
      </w:r>
      <w:r>
        <w:rPr>
          <w:rFonts w:ascii="Arial" w:cs="Arial" w:eastAsia="Arial" w:hAnsi="Arial"/>
          <w:b w:val="false"/>
          <w:bCs w:val="false"/>
          <w:i w:val="false"/>
          <w:iCs w:val="false"/>
          <w:color w:val="1A2332"/>
          <w:sz w:val="22"/>
          <w:szCs w:val="22"/>
        </w:rPr>
        <w:t xml:space="preserve">Contract obligation monitoring: extracted obligations stored as structured records (obligation type, responsible party, due date, completion status). Automated reminders: GOV.UK Notify email alerts (4 weeks before obligation due, 1 week before, on due date if incomplete). Renewal management: contract expiry dates trigger renewal workflow (6 months before expiry — partner notified for renewal decision). Escalation: obligations overdue by 7 days → partner notification; overdue by 14 days → practice group head notification. Dashboard: RAG status (Red/Amber/Green) per active contract — partner can see all contract health at a glance.</w:t>
      </w:r>
    </w:p>
    <w:p>
      <w:pPr>
        <w:spacing w:after="160" w:before="100"/>
      </w:pPr>
      <w:r>
        <w:rPr>
          <w:rFonts w:ascii="Arial" w:cs="Arial" w:eastAsia="Arial" w:hAnsi="Arial"/>
          <w:b/>
          <w:bCs/>
          <w:i w:val="false"/>
          <w:iCs w:val="false"/>
          <w:color w:val="E8612A"/>
          <w:sz w:val="22"/>
          <w:szCs w:val="22"/>
        </w:rPr>
        <w:t xml:space="preserve">LPP-Safe Document Access Controls: </w:t>
      </w:r>
      <w:r>
        <w:rPr>
          <w:rFonts w:ascii="Arial" w:cs="Arial" w:eastAsia="Arial" w:hAnsi="Arial"/>
          <w:b w:val="false"/>
          <w:bCs w:val="false"/>
          <w:i w:val="false"/>
          <w:iCs w:val="false"/>
          <w:color w:val="1A2332"/>
          <w:sz w:val="22"/>
          <w:szCs w:val="22"/>
        </w:rPr>
        <w:t xml:space="preserve">Legal Professional Privilege (LPP): all contracts and associated correspondence may carry LPP. Access controls: contract records tagged with client matter number (links to DMS matter record) — access restricted to lawyers with matter access. Sharing: contracts can be shared with client portal (client self-service view of their own contracts) — LPP documents excluded from client portal by default. Counterparty data: UK GDPR data subject rights apply to counterparty individuals named in contracts — DSAR workflow produces contract counterparty data extract within 30 days.</w:t>
      </w:r>
    </w:p>
    <w:p>
      <w:pPr>
        <w:spacing w:after="160" w:before="100"/>
      </w:pPr>
      <w:r>
        <w:rPr>
          <w:rFonts w:ascii="Arial" w:cs="Arial" w:eastAsia="Arial" w:hAnsi="Arial"/>
          <w:b/>
          <w:bCs/>
          <w:i w:val="false"/>
          <w:iCs w:val="false"/>
          <w:color w:val="E8612A"/>
          <w:sz w:val="22"/>
          <w:szCs w:val="22"/>
        </w:rPr>
        <w:t xml:space="preserve">iManage DMS Integration: </w:t>
      </w:r>
      <w:r>
        <w:rPr>
          <w:rFonts w:ascii="Arial" w:cs="Arial" w:eastAsia="Arial" w:hAnsi="Arial"/>
          <w:b w:val="false"/>
          <w:bCs w:val="false"/>
          <w:i w:val="false"/>
          <w:iCs w:val="false"/>
          <w:color w:val="1A2332"/>
          <w:sz w:val="22"/>
          <w:szCs w:val="22"/>
        </w:rPr>
        <w:t xml:space="preserve">iManage Work 10: ClickMasters integrates the CLM platform with iManage — contract documents pulled from iManage matter workspaces, metadata synchronised bi-directionally (CLM extraction results written back to iManage document metadata). Matter workspace: each active client matter has a contracts section (auto-populated from CLM platform). Version control: contract amendments tracked in iManage (version 1, 2, 3) with CLM platform showing current version obligation set. iManage Events API: document upload event triggers CLM extraction workflow automatically — no manual import required.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20 weeks, £120,000 — under budget. 4,200 contracts migrated and extracted in 6 weeks. AI extraction accuracy: 94.2% (fields validated by partner review of random 200-contract sample). Contract obligation compliance: 96.4% (obligations met on time — previously estimated 78% with manual tracking). Renewal missed rate: 0.4% (2 renewals missed in first 12 months vs estimated 8.4% previously). Annual cost saving: £2.1M (65% of £3.2M manual cost). LPP incident rate: zero. WCAG 2.1 AA: zero non-compliances.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"4,200 contracts extracted in 6 weeks. AI accuracy 94.2%. Obligation compliance from estimated 78% to 96.4%. Renewal missed rate 0.4% versus 8.4% estimate. Annual saving £2.1M — 65% of a £3.2M manual process. Zero LPP incidents. The AI extraction using Claude was the core innovation — lawyers trust it because confidence scores tell them exactly which fields to review." — Chief Innovation Partner, UK Commercial Law Firm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Claude API (claude-sonnet-4-20250514), iManage Work 10 API,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SRA Code of Conduct, Legal Professional Privilege, UK GDPR (counterparty data), WCAG 2.1 AA, Cyber Essentials Plus, ISO 27001</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contract lifecycle management software uk law firm, clm platform uk legal, legaltech contract management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2026-06-02T12:59:16.836Z</dcterms:created>
  <dcterms:modified xsi:type="dcterms:W3CDTF">2026-06-02T12:59:16.836Z</dcterms:modified>
</cp:coreProperties>
</file>

<file path=docProps/custom.xml><?xml version="1.0" encoding="utf-8"?>
<Properties xmlns="http://schemas.openxmlformats.org/officeDocument/2006/custom-properties" xmlns:vt="http://schemas.openxmlformats.org/officeDocument/2006/docPropsVTypes"/>
</file>