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Islamic Finance Digital Banking Platform — UK Sharia-Compliant — ClickMasters Case Study
META DESC: A UK FCA-authorised Islamic bank with £840M Sharia-compliant deposits and 42,000 customers needed to modernise...
SLUG: /case-studies/fintech-islamic-finance-digital-banking/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Islamic Finance Digital Banking Platform — UK Sharia-Compliant</w:t>
      </w:r>
    </w:p>
    <w:p>
      <w:pPr>
        <w:spacing w:after="60" w:before="60"/>
      </w:pPr>
    </w:p>
    <w:p>
      <w:pPr>
        <w:pStyle w:val="Heading1"/>
        <w:spacing w:after="160" w:before="360"/>
      </w:pPr>
      <w:r>
        <w:rPr>
          <w:rFonts w:ascii="Arial" w:cs="Arial" w:eastAsia="Arial" w:hAnsi="Arial"/>
          <w:b/>
          <w:bCs/>
          <w:color w:val="0B1F3A"/>
          <w:sz w:val="40"/>
          <w:szCs w:val="40"/>
        </w:rPr>
        <w:t xml:space="preserve">FinTech Islamic Finance Digital Banking Platform — UK Sharia-Compliant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Islamic Finance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Islamic Finance | Tech: React, Node.js/Fastify, PostgreSQL, HMLR Land Register API, HMRC SDLT API, FCA Consumer Duty reporting, GOV.UK Notify, AWS eu-west-2 | Compliance: FCA authorisation, PRA prudential regulation, Sharia Supervisory Board oversight, FCA Consumer Duty (PS22/9), AML MLRs 2017, UK GDPR, FSCS,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FCA-authorised Islamic bank with £840M Sharia-compliant deposits and 42,000 customers needed to modernise their legacy digital platform — enabling Murabaha home financing (Sharia-compliant mortgage alternative), Wakala savings, current accounts, and international Islamic finance products. FCA authorisation (as a UK bank), PRA prudential requirements, Sharia Supervisory Board (SSB) oversight requirements, FCA Consumer Duty, UK GDPR, AML MLRs 2017, and WCAG 2.1 AA were mandatory. The platform must never facilitate interest-bearing transactions (riba prohibition). Budget: £160,000.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Sharia Compliance Architecture — Eliminating Riba: </w:t>
      </w:r>
      <w:r>
        <w:rPr>
          <w:rFonts w:ascii="Arial" w:cs="Arial" w:eastAsia="Arial" w:hAnsi="Arial"/>
          <w:b w:val="false"/>
          <w:bCs w:val="false"/>
          <w:i w:val="false"/>
          <w:iCs w:val="false"/>
          <w:color w:val="1A2332"/>
          <w:sz w:val="22"/>
          <w:szCs w:val="22"/>
        </w:rPr>
        <w:t xml:space="preserve">Riba (interest) prohibition is the primary Sharia compliance requirement. Architecture: (1) no loan products — only Murabaha (cost-plus sale), Musharaka (partnership), Ijara (leasing), Wakala (agency). (2) Profit rate (not interest rate) — all return calculations labelled "profit" not "interest", (3) profit calculation methodology: Murabaha — bank purchases asset at cost price, sells to customer at cost + agreed profit (fixed at outset — no compound profit). (4) Zakat calculation (Islamic charitable donation — 2.5% of eligible wealth above Nisab threshold) offered as optional automated calculation for customers. Sharia Supervisory Board review: SSB reviews every new product and significant platform change — digital record of SSB approvals maintained.</w:t>
      </w:r>
    </w:p>
    <w:p>
      <w:pPr>
        <w:spacing w:after="160" w:before="100"/>
      </w:pPr>
      <w:r>
        <w:rPr>
          <w:rFonts w:ascii="Arial" w:cs="Arial" w:eastAsia="Arial" w:hAnsi="Arial"/>
          <w:b/>
          <w:bCs/>
          <w:i w:val="false"/>
          <w:iCs w:val="false"/>
          <w:color w:val="E8612A"/>
          <w:sz w:val="22"/>
          <w:szCs w:val="22"/>
        </w:rPr>
        <w:t xml:space="preserve">Murabaha Home Finance Journey: </w:t>
      </w:r>
      <w:r>
        <w:rPr>
          <w:rFonts w:ascii="Arial" w:cs="Arial" w:eastAsia="Arial" w:hAnsi="Arial"/>
          <w:b w:val="false"/>
          <w:bCs w:val="false"/>
          <w:i w:val="false"/>
          <w:iCs w:val="false"/>
          <w:color w:val="1A2332"/>
          <w:sz w:val="22"/>
          <w:szCs w:val="22"/>
        </w:rPr>
        <w:t xml:space="preserve">Murabaha is the UK Islamic bank's Sharia-compliant alternative to a conventional mortgage. Journey: (1) customer applies for home finance, (2) bank purchases the property (legal title transfers to bank at purchase), (3) bank immediately sells property to customer at purchase price + profit (total price agreed at outset — never changes), (4) customer pays in agreed monthly instalments (deferred payment sale — installments calculated as total price ÷ months). HMLR integration: Murabaha requires two title transfers — bank buys, bank sells to customer. HMLR Land Register: both transactions registered. SDLT (Stamp Duty Land Tax) relief: SDLT Double Charge Relief Act — relief from double SDLT on Islamic finance structures.</w:t>
      </w:r>
    </w:p>
    <w:p>
      <w:pPr>
        <w:spacing w:after="160" w:before="100"/>
      </w:pPr>
      <w:r>
        <w:rPr>
          <w:rFonts w:ascii="Arial" w:cs="Arial" w:eastAsia="Arial" w:hAnsi="Arial"/>
          <w:b/>
          <w:bCs/>
          <w:i w:val="false"/>
          <w:iCs w:val="false"/>
          <w:color w:val="E8612A"/>
          <w:sz w:val="22"/>
          <w:szCs w:val="22"/>
        </w:rPr>
        <w:t xml:space="preserve">Wakala Savings and Profit Distribution: </w:t>
      </w:r>
      <w:r>
        <w:rPr>
          <w:rFonts w:ascii="Arial" w:cs="Arial" w:eastAsia="Arial" w:hAnsi="Arial"/>
          <w:b w:val="false"/>
          <w:bCs w:val="false"/>
          <w:i w:val="false"/>
          <w:iCs w:val="false"/>
          <w:color w:val="1A2332"/>
          <w:sz w:val="22"/>
          <w:szCs w:val="22"/>
        </w:rPr>
        <w:t xml:space="preserve">Wakala savings: bank acts as investment agent (wakeel) for customer — customer authorises bank to invest on their behalf in Sharia-compliant assets. Expected profit rate: declared monthly (not guaranteed — Sharia prohibits guaranteed returns). Actual profit distribution: monthly allocation of investment return to customer account. Wakala portal: customer dashboard showing expected profit rate, current balance, maturity date (for fixed-term Wakala), and profit received to date. FSCS protection: Islamic bank deposits are FSCS-protected (Financial Services Compensation Scheme — £85,000 per depositor) — prominently displayed on Wakala savings pages.</w:t>
      </w:r>
    </w:p>
    <w:p>
      <w:pPr>
        <w:spacing w:after="160" w:before="100"/>
      </w:pPr>
      <w:r>
        <w:rPr>
          <w:rFonts w:ascii="Arial" w:cs="Arial" w:eastAsia="Arial" w:hAnsi="Arial"/>
          <w:b/>
          <w:bCs/>
          <w:i w:val="false"/>
          <w:iCs w:val="false"/>
          <w:color w:val="E8612A"/>
          <w:sz w:val="22"/>
          <w:szCs w:val="22"/>
        </w:rPr>
        <w:t xml:space="preserve">FCA Consumer Duty and Islamic Finance: </w:t>
      </w:r>
      <w:r>
        <w:rPr>
          <w:rFonts w:ascii="Arial" w:cs="Arial" w:eastAsia="Arial" w:hAnsi="Arial"/>
          <w:b w:val="false"/>
          <w:bCs w:val="false"/>
          <w:i w:val="false"/>
          <w:iCs w:val="false"/>
          <w:color w:val="1A2332"/>
          <w:sz w:val="22"/>
          <w:szCs w:val="22"/>
        </w:rPr>
        <w:t xml:space="preserve">FCA Consumer Duty (PS22/9): Islamic finance products must provide fair value to Muslim customers who have no alternative to Sharia-compliant products. Value assessment: (1) Murabaha home finance cost comparison vs equivalent conventional mortgage (transparent profit rate vs interest rate equivalence), (2) Wakala savings expected profit rate vs equivalent conventional savings rate, (3) no exploitation of religious obligation — FCA Consumer Duty specifically requires no targeting of vulnerable characteristics (religious obligation is a consumer vulnerability). Sharia compliance page: plain English explanation of how each product is Sharia-compliant (for customers who want to verify SSB approval).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FCA and PRA compliance confirmed. Sharia Supervisory Board approval. Platform live at 22 weeks, £148,000 — under budget. 42,000 customers migrated zero downtime. Murabaha home finance digital applications: 84% of applications now fully digital (previously 100% in-branch). Wakala account openings: 3,400 new accounts in first 6 months. FSCS information display: 100% (FCA Consumer Duty). SDLT Double Charge Relief automation: 100% (previously manual legal claim). FCA Consumer Duty review: confirmed compliant. Customer NPS: 78.</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"42,000 customers migrated zero downtime. Murabaha digital applications 84%. Wakala 3,400 new accounts in 6 months. SDLT Double Charge Relief automated. FCA Consumer Duty confirmed. SSB approved. NPS 78. The SDLT Double Charge Relief integration was the most important regulatory automation — every Murabaha transaction previously required a manual HMRC relief claim. ClickMasters understood Islamic finance structures at a level that no other UK software supplier has demonstrated." — CEO, UK Islamic Bank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HMLR Land Register API, HMRC SDLT API, FCA Consumer Duty reporting,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authorisation, PRA prudential regulation, Sharia Supervisory Board oversight, FCA Consumer Duty (PS22/9), AML MLRs 2017, UK GDPR, FSCS,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islamic finance digital banking uk, murabaha platform uk, sharia compliant fintech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2026-06-03T12:07:46.366Z</dcterms:created>
  <dcterms:modified xsi:type="dcterms:W3CDTF">2026-06-03T12:07:46.366Z</dcterms:modified>
</cp:coreProperties>
</file>

<file path=docProps/custom.xml><?xml version="1.0" encoding="utf-8"?>
<Properties xmlns="http://schemas.openxmlformats.org/officeDocument/2006/custom-properties" xmlns:vt="http://schemas.openxmlformats.org/officeDocument/2006/docPropsVTypes"/>
</file>