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FinTech Buy Now Pay Later Platform — UK FCA Authorised — ClickMasters Case Study
META DESC: A UK FCA-authorised BNPL (Buy Now Pay Later) provider preparing for FCA regulation of the BNPL sector (Consume...
SLUG: /case-studies/fintech-buy-now-pay-later-bnpl/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March 2026  |  Reading time: 6 min  |  Written by: ClickMasters Case Study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Case Studies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FinTech Buy Now Pay Later Platform — UK FCA Authorised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FinTech Buy Now Pay Later Platform — UK FCA Authorised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🏭 FinTech / BNPL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On Time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📋 Fixed Price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Sector: FinTech / BNPL | Tech: React, Node.js/Fastify, PostgreSQL, TrueLayer AISP, Onfido, Equifax API, GoCardless VRP, Stripe, AWS eu-west-2 | Compliance: FCA Consumer Credit permissions, FCA Consumer Duty (PS22/9), Consumer Credit Act, FCA CONC, AML MLRs 2017, UK GDPR, PCI-DSS SAQ-A, WCAG 2.1 AA, Cyber Essentials Plus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Challenge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 UK FCA-authorised BNPL (Buy Now Pay Later) provider preparing for FCA regulation of the BNPL sector (Consumer Credit Act 2026 amendments bringing BNPL under full FCA regulation) needed to build a compliant consumer credit platform — replacing their legacy Stripe payment infrastructure with a regulated credit product. FCA Consumer Credit permissions, FCA Consumer Duty PS22/9, CCA (Consumer Credit Act — regulated credit agreements), FCA CONC (Consumer Credit sourcebook), credit risk assessment (open banking affordability + credit bureau), UK GDPR, and WCAG 2.1 AA were mandatory. Budget: £140,000.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Our Approach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FCA BNPL Regulated Credit Architecture: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FCA consumer credit regulation of BNPL: from 2026, BNPL products are regulated credit agreements under CCA. Regulated BNPL requirements: (1) credit agreement (CCA Section 61 — written credit agreement, prescribed terms, cooling-off right), (2) creditworthiness assessment (FCA CONC 5.2A — assess affordability before granting credit), (3) APR disclosure (CCA Section 20 — Annual Percentage Rate must be disclosed even for 0% interest BNPL), (4) pre-contractual information (SECCI — Standard European Consumer Credit Information — standard form required by FCA), (5) FCA credit register reporting (credit bureau reporting — positive and negative data — from credit agreement start). Platform: credit agreement generation, SECCI generation, APR calculation engine (actuarial — correct APR for 0% BNPL), credit bureau reporting via Experian/Equifax B2B API.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Open Banking Affordability Assessment: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FCA CONC 5.2A creditworthiness assessment: lender must consider income, committed expenditure, and any other credit before approving BNPL. Open Banking affordability: (1) TrueLayer AISP (6-month bank account transaction history — customer consents), (2) income identification (salary credits, regular income patterns — ML categorisation), (3) committed expenditure (rent/mortgage, utility direct debits, loan repayments — ML categorisation), (4) disposable income (income minus committed expenditure), (5) credit affordability check (BNPL repayment as % of disposable income — FCA stress test at +3% interest rate even for 0% product). Credit bureau: Equifax CreditScore API (CCJs, defaults, existing credit commitments). Automated decision: income - committed expenditure - existing credit repayments - BNPL repayment &gt; £0 and creditworthy → approve.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Consumer Duty BNPL Product Design: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FCA Consumer Duty PS22/9 for BNPL: BNPL Consumer Duty obligations are the most scrutinised of all credit products. Consumer Duty design principles: (1) product suitability — BNPL is not suitable for financially vulnerable customers (gambling-related spend, patterns suggesting over-indebtedness → decline), (2) price and value — 0% BNPL is genuine value only if merchant discount rate (MDR) does not lead to higher retail prices being passed to non-BNPL customers, (3) consumer understanding — plain English credit agreement (Flesch-Kincaid Grade Level &lt; 8 — automated readability check), (4) consumer support — missed payment communication must be supportive, not threatening — FCA Consumer Duty tone of voice guidelines. Vulnerable customer identification: open banking data flags potential vulnerability (gambling transactions, consistent overdraft, late payment patterns) → automatic referral to vulnerability support pathway (not decline — FCA expects engagement not exclusion).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BNPL Merchant Integration and Settlement: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Merchant integration: BNPL embedded at checkout (Shopify app, WooCommerce plugin, and headless JavaScript SDK). Merchant flow: (1) customer selects BNPL at checkout, (2) BNPL platform creates credit agreement (pre-filled from merchant basket data), (3) customer completes identity verification (Onfido) and affordability check, (4) credit approved → BNPL platform pays merchant in full within T+1 (GoCardless B2B payment), (5) customer repays BNPL in instalments (3/6/12 months — GoCardless VRP — Variable Recurring Payments). Merchant discount rate: 2–4% of transaction value (merchant pays for BNPL service). FCA register: BNPL platform registered as credit broker (and lender if funding from balance sheet) — credit register listing shown at checkout (FCA requirement).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Result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FCA Consumer Credit authorisation confirmed. Platform live at 22 weeks, £128,000 — under budget. Creditworthiness assessment: 100% automated (open banking + credit bureau). CCA credit agreement generation: 100% compliant (legal review confirmed). Consumer Duty readability: all credit agreements Flesch-Kincaid Grade Level 7.2 (target: &lt; 8). APR disclosure: 100% (zero FCA FRN compliance failures). Vulnerable customer identification: 4.2% of applicants identified and referred to support pathway. Credit bureau reporting: live from day 1. Merchant integration: Shopify app and JavaScript SDK live. FCA CONC compliance confirmed.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EDDA" w:sz="1"/>
              <w:left w:val="single" w:color="D4EDDA" w:sz="1"/>
              <w:bottom w:val="single" w:color="D4EDDA" w:sz="1"/>
              <w:right w:val="single" w:color="D4EDDA" w:sz="1"/>
            </w:tcBorders>
            <w:shd w:fill="D4ED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B1F3A"/>
                <w:sz w:val="22"/>
                <w:szCs w:val="22"/>
              </w:rPr>
              <w:t xml:space="preserve">"FCA Consumer Credit authorised. Creditworthiness 100% automated. CCA agreements confirmed. Consumer Duty Grade Level 7.2. Vulnerable customer 4.2% identified and supported — not declined. APR zero FCA findings. Credit bureau live day 1. The Consumer Duty BNPL design — supporting vulnerable customers through a dedicated pathway rather than declining them — was the regulatory stance that got FCA authorisation approved. FCA wants engagement with vulnerability, not exclusion. ClickMasters understood this distinction and built it in from Sprint 1." — CEO, UK BNPL Provider (name withheld)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Technologies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React, Node.js/Fastify, PostgreSQL, TrueLayer AISP, Onfido, Equifax API, GoCardless VRP, Stripe, AWS eu-west-2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FCA Consumer Credit permissions, FCA Consumer Duty (PS22/9), Consumer Credit Act, FCA CONC, AML MLRs 2017, UK GDPR, PCI-DSS SAQ-A, WCAG 2.1 AA, Cyber Essentials Plus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Contract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Fixed-price Agile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IP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100% transferred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Case Studies: /case-studies/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Something Similar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Book a 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| bnpl platform uk fca regulated, buy now pay later software uk, fintech consumer credit uk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2026-06-05T11:54:14.218Z</dcterms:created>
  <dcterms:modified xsi:type="dcterms:W3CDTF">2026-06-05T11:54:14.218Z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