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RetailTech UK Grocery eCommerce Platform — Regional Supermarket Chain — ClickMasters Case Study
META DESC: A UK regional supermarket chain with 84 stores, £840M annual revenue, and a failing legacy grocery eCommerce p...
SLUG: /case-studies/retailtech-uk-grocery-ecommerce-platform/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RetailTech UK Grocery eCommerce Platform — Regional Supermarket Chain</w:t>
      </w:r>
    </w:p>
    <w:p>
      <w:pPr>
        <w:spacing w:after="60" w:before="60"/>
      </w:pPr>
    </w:p>
    <w:p>
      <w:pPr>
        <w:pStyle w:val="Heading1"/>
        <w:spacing w:after="160" w:before="360"/>
      </w:pPr>
      <w:r>
        <w:rPr>
          <w:rFonts w:ascii="Arial" w:cs="Arial" w:eastAsia="Arial" w:hAnsi="Arial"/>
          <w:b/>
          <w:bCs/>
          <w:color w:val="0B1F3A"/>
          <w:sz w:val="40"/>
          <w:szCs w:val="40"/>
        </w:rPr>
        <w:t xml:space="preserve">RetailTech UK Grocery eCommerce Platform — Regional Supermarket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RetailTech / Grocery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RetailTech / Grocery | Tech: Next.js 14, Shopify Plus (checkout), React Native (Expo — driver app, loyalty app), Node.js/Fastify, PostgreSQL, HERE Maps Routes API, HERE Traffic API, GS1 UK Product Database, GOV.UK Notify, AWS eu-west-2 | Compliance: UK Consumer Rights Act (food distance selling), Food Safety Act 1990, FSA Allergen Regulations (FIC retained UK), PECR, UK GDPR, PCI-DSS SAQ-A, WCAG 2.1 AA, Equality Act 2010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regional supermarket chain with 84 stores, £840M annual revenue, and a failing legacy grocery eCommerce platform (Demandware legacy — 8.4s LCP, 22% checkout abandonment) needed a complete digital transformation — building a modern grocery eCommerce platform with same-day delivery, Click and Collect, and a loyalty app. UK Consumer Rights Act (food distance selling regulations), PECR, UK GDPR, PCI-DSS SAQ-A, Food Safety Act 1990 (allergen labelling requirements for online food orders), WCAG 2.1 AA, and Equality Act 2010 were mandatory. Budget: £200,000.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Grocery-Specific Commerce Architecture: </w:t>
      </w:r>
      <w:r>
        <w:rPr>
          <w:rFonts w:ascii="Arial" w:cs="Arial" w:eastAsia="Arial" w:hAnsi="Arial"/>
          <w:b w:val="false"/>
          <w:bCs w:val="false"/>
          <w:i w:val="false"/>
          <w:iCs w:val="false"/>
          <w:color w:val="1A2332"/>
          <w:sz w:val="22"/>
          <w:szCs w:val="22"/>
        </w:rPr>
        <w:t xml:space="preserve">Grocery eCommerce has unique requirements not present in general retail: (1) substitution logic (item out of stock → automatic substitution suggestion, customer accepts or declines — never silent substitution), (2) weight-priced items (loose produce, meat — price not fixed at order time, final price based on actual weight at pick), (3) slot booking (delivery or Click and Collect — 1-hour delivery slots, capacity managed per postcode), (4) freshness guarantee (best before date at delivery — algorithm rejects items expiring &lt; 2 days post-delivery slot), (5) allergen management (FSA 14 major allergens — customer allergen profile filters search results). Order cut-off: last order accepted 2 hours before delivery slot for route planning. Temperature chain: frozen/chilled/ambient items picked separately, merged at dispatch.</w:t>
      </w:r>
    </w:p>
    <w:p>
      <w:pPr>
        <w:spacing w:after="160" w:before="100"/>
      </w:pPr>
      <w:r>
        <w:rPr>
          <w:rFonts w:ascii="Arial" w:cs="Arial" w:eastAsia="Arial" w:hAnsi="Arial"/>
          <w:b/>
          <w:bCs/>
          <w:i w:val="false"/>
          <w:iCs w:val="false"/>
          <w:color w:val="E8612A"/>
          <w:sz w:val="22"/>
          <w:szCs w:val="22"/>
        </w:rPr>
        <w:t xml:space="preserve">Allergen and Food Safety Compliance: </w:t>
      </w:r>
      <w:r>
        <w:rPr>
          <w:rFonts w:ascii="Arial" w:cs="Arial" w:eastAsia="Arial" w:hAnsi="Arial"/>
          <w:b w:val="false"/>
          <w:bCs w:val="false"/>
          <w:i w:val="false"/>
          <w:iCs w:val="false"/>
          <w:color w:val="1A2332"/>
          <w:sz w:val="22"/>
          <w:szCs w:val="22"/>
        </w:rPr>
        <w:t xml:space="preserve">Food Safety Act 1990 and EU FIC (Food Information to Consumers Regulation 1169/2011 — retained in UK): online food retailers must display allergen information for all pre-packed products. Allergen architecture: (1) product information from GS1 UK product database (EAN barcode → product data including 14 FSA major allergens), (2) allergen filter (customer sets allergen profile — gluten, nuts, dairy, etc. — search and browse hides products containing those allergens), (3) allergen warning at checkout (any item in basket containing customer's allergen → warning before payment), (4) substitution allergen check (proposed substitution must not introduce allergen not present in original item). FSA 14 allergens: celery, cereals with gluten, crustaceans, eggs, fish, lupin, milk, molluscs, mustard, nuts, peanuts, sesame seeds, soybeans, sulphur dioxide.</w:t>
      </w:r>
    </w:p>
    <w:p>
      <w:pPr>
        <w:spacing w:after="160" w:before="100"/>
      </w:pPr>
      <w:r>
        <w:rPr>
          <w:rFonts w:ascii="Arial" w:cs="Arial" w:eastAsia="Arial" w:hAnsi="Arial"/>
          <w:b/>
          <w:bCs/>
          <w:i w:val="false"/>
          <w:iCs w:val="false"/>
          <w:color w:val="E8612A"/>
          <w:sz w:val="22"/>
          <w:szCs w:val="22"/>
        </w:rPr>
        <w:t xml:space="preserve">Same-Day Delivery Route Optimisation: </w:t>
      </w:r>
      <w:r>
        <w:rPr>
          <w:rFonts w:ascii="Arial" w:cs="Arial" w:eastAsia="Arial" w:hAnsi="Arial"/>
          <w:b w:val="false"/>
          <w:bCs w:val="false"/>
          <w:i w:val="false"/>
          <w:iCs w:val="false"/>
          <w:color w:val="1A2332"/>
          <w:sz w:val="22"/>
          <w:szCs w:val="22"/>
        </w:rPr>
        <w:t xml:space="preserve">Grocery same-day delivery: 2-hour delivery window, route optimised at van load time. Route optimisation: (1) HERE Maps Routes API (multi-stop route planning — optimise sequence for 12 deliveries per van per slot), (2) real-time traffic (HERE Traffic API — reroute if significant delay), (3) driver app (React Native Expo — order sequence, navigation, customer confirmation, temperature chain logging), (4) customer ETA (30-minute ahead notification via GOV.UK Notify SMS — "Your order is 2 stops away"), (5) delivery confirmation (driver takes photo at doorstep — evidence for contactless delivery disputes). Route capacity: 12 deliveries per 1-hour slot × 8 vans = 96 deliveries/hour. Peak capacity: additional van deployment triggered when slot booking exceeds 80 remaining capacity.</w:t>
      </w:r>
    </w:p>
    <w:p>
      <w:pPr>
        <w:spacing w:after="160" w:before="100"/>
      </w:pPr>
      <w:r>
        <w:rPr>
          <w:rFonts w:ascii="Arial" w:cs="Arial" w:eastAsia="Arial" w:hAnsi="Arial"/>
          <w:b/>
          <w:bCs/>
          <w:i w:val="false"/>
          <w:iCs w:val="false"/>
          <w:color w:val="E8612A"/>
          <w:sz w:val="22"/>
          <w:szCs w:val="22"/>
        </w:rPr>
        <w:t xml:space="preserve">Loyalty Programme and Personalisation: </w:t>
      </w:r>
      <w:r>
        <w:rPr>
          <w:rFonts w:ascii="Arial" w:cs="Arial" w:eastAsia="Arial" w:hAnsi="Arial"/>
          <w:b w:val="false"/>
          <w:bCs w:val="false"/>
          <w:i w:val="false"/>
          <w:iCs w:val="false"/>
          <w:color w:val="1A2332"/>
          <w:sz w:val="22"/>
          <w:szCs w:val="22"/>
        </w:rPr>
        <w:t xml:space="preserve">Grocery loyalty: more complex than general retail — weekly shop, basket sizes £30–£200, high visit frequency (2.1 visits/week average). Loyalty architecture: (1) Nectar-style points (1 point per £1 spent — 100 points = £1 off), (2) personalised offers (customer's frequent items → personalised price reduction — PECR: marketing consent required for behavioural personalisation), (3) loyalty card app (React Native — scan in-store or app to earn points), (4) gamification (streak rewards — 4 consecutive weeks shopping → bonus points, PECR consent required), (5) meal planning integration (loyalty app shows favourite items → meal plan suggestion → add to basket). AADC: loyalty app accessible by family members including under-18s — AADC controls applied if family mode enabled.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28 weeks, £184,000 — under budget. LCP: 8.4s → 1.2s. Checkout abandonment: 22% → 9.4%. Online revenue: +68% year-on-year (platform improvement + market growth). Same-day delivery adoption: 34% of online orders. Allergen filter activation: 28% of customers (28% have at least one dietary requirement — most valuable accessibility feature). Food Safety allergen compliance: 100% (FSA audit confirmed). Click and Collect: 24% of online orders. Loyalty app downloads: 284,000. NPS: 78 (Demandware: 22). Consumer Rights Act compliance: 100%.</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"LCP 8.4 to 1.2. Checkout abandonment 22 to 9.4. Online revenue +68%. Same-day 34%. Allergen filter 28% of customers — the single most important feature for customer trust. Loyalty 284,000 downloads. NPS 22 to 78. The allergen filter was not in the original scope. A customer in Discovery told us she could not trust any grocery website with her nut allergy. Two sprints later, the allergen filter existed. That is what listening to users looks like. It is now our most-used feature by far." — Chief Digital Officer, UK Regional Supermarket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Shopify Plus (checkout), React Native (Expo — driver app, loyalty app), Node.js/Fastify, PostgreSQL, HERE Maps Routes API, HERE Traffic API, GS1 UK Product Database,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Consumer Rights Act (food distance selling), Food Safety Act 1990, FSA Allergen Regulations (FIC retained UK), PECR, UK GDPR, PCI-DSS SAQ-A, WCAG 2.1 AA, Equality Act 2010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grocery ecommerce platform uk supermarket, food retailtech uk allergen, same day delivery platform uk retail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2026-06-05T16:45:19.757Z</dcterms:created>
  <dcterms:modified xsi:type="dcterms:W3CDTF">2026-06-05T16:45:19.757Z</dcterms:modified>
</cp:coreProperties>
</file>

<file path=docProps/custom.xml><?xml version="1.0" encoding="utf-8"?>
<Properties xmlns="http://schemas.openxmlformats.org/officeDocument/2006/custom-properties" xmlns:vt="http://schemas.openxmlformats.org/officeDocument/2006/docPropsVTypes"/>
</file>