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DEFRA Digital Environmental Permitting Service — ClickMasters Case Study
META DESC: The Environment Agency (DEFRA arm's-length body) processing 28,000 environmental permit applications per year ...
SLUG: /case-studies/govtech-defra-digital-environmental-permitting/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April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DEFRA Digital Environmental Permitting Service</w:t>
      </w:r>
    </w:p>
    <w:p>
      <w:pPr>
        <w:spacing w:after="60" w:before="60"/>
      </w:pPr>
    </w:p>
    <w:p>
      <w:pPr>
        <w:pStyle w:val="Heading1"/>
        <w:spacing w:after="160" w:before="360"/>
      </w:pPr>
      <w:r>
        <w:rPr>
          <w:rFonts w:ascii="Arial" w:cs="Arial" w:eastAsia="Arial" w:hAnsi="Arial"/>
          <w:b/>
          <w:bCs/>
          <w:color w:val="0B1F3A"/>
          <w:sz w:val="40"/>
          <w:szCs w:val="40"/>
        </w:rPr>
        <w:t xml:space="preserve">GovTech DEFRA Digital Environmental Permitting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Environment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Environment | Tech: Next.js 14, Node.js/Fastify, PostgreSQL (PostGIS), GOV.UK One Login, GOV.UK Pay, GOV.UK Notify, GOV.UK Design System, Esri ArcGIS API, HMLR INSPIRE Polygons API, Environment Agency Flood Risk API, React Native (Expo — inspection app), AWS eu-west-2 | Compliance: Environmental Permitting Regulations 2016, GDS Service Standard (17 points), UK GDPR, WCAG 2.1 AA, PSBAR,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The Environment Agency (DEFRA arm's-length body) processing 28,000 environmental permit applications per year (waste management, water discharge, industrial emissions — regulated under the Environmental Permitting Regulations 2016) needed to modernise their legacy permit management system — replacing an aging Oracle-based system and paper-based public consultations with a GDS-compliant digital service. GDS Service Standard, GOV.UK Pay (permit fee — £1,690 to £9,630+ depending on activity), GOV.UK Notify, GOV.UK One Login, Environment Agency consultation rules (21-day public consultation period), UK GDPR for applicant data, WCAG 2.1 AA, and Cyber Essentials Plus were mandatory. Budget: £150,000.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Environmental Permit Application Journey: </w:t>
      </w:r>
      <w:r>
        <w:rPr>
          <w:rFonts w:ascii="Arial" w:cs="Arial" w:eastAsia="Arial" w:hAnsi="Arial"/>
          <w:b w:val="false"/>
          <w:bCs w:val="false"/>
          <w:i w:val="false"/>
          <w:iCs w:val="false"/>
          <w:color w:val="1A2332"/>
          <w:sz w:val="22"/>
          <w:szCs w:val="22"/>
        </w:rPr>
        <w:t xml:space="preserve">Environmental permit application GDS journey: (1) permit type selector (waste management, water discharge, industrial emissions, flood risk activity — branching logic, correct permit type required), (2) site details (address, UPRN, OS grid reference, site boundary upload), (3) activity description (what regulated activity, quantities, operating times, pollution control measures), (4) supporting documents (waste management plan, environmental risk assessment, technical competence certificate), (5) GOV.UK Pay (permit fee — calculated from activity type and scale), (6) GOV.UK One Login (application associated with applicant identity), (7) confirmation (reference number, next steps, 8-week determination timeline stated). GDS one-thing-per-page: 28-question application split into 28 pages — GDS progressive disclosure.</w:t>
      </w:r>
    </w:p>
    <w:p>
      <w:pPr>
        <w:spacing w:after="160" w:before="100"/>
      </w:pPr>
      <w:r>
        <w:rPr>
          <w:rFonts w:ascii="Arial" w:cs="Arial" w:eastAsia="Arial" w:hAnsi="Arial"/>
          <w:b/>
          <w:bCs/>
          <w:i w:val="false"/>
          <w:iCs w:val="false"/>
          <w:color w:val="E8612A"/>
          <w:sz w:val="22"/>
          <w:szCs w:val="22"/>
        </w:rPr>
        <w:t xml:space="preserve">21-Day Public Consultation Automation: </w:t>
      </w:r>
      <w:r>
        <w:rPr>
          <w:rFonts w:ascii="Arial" w:cs="Arial" w:eastAsia="Arial" w:hAnsi="Arial"/>
          <w:b w:val="false"/>
          <w:bCs w:val="false"/>
          <w:i w:val="false"/>
          <w:iCs w:val="false"/>
          <w:color w:val="1A2332"/>
          <w:sz w:val="22"/>
          <w:szCs w:val="22"/>
        </w:rPr>
        <w:t xml:space="preserve">Environmental Permitting Regulations 2016: permits for certain activities require 21-day public consultation (public can object to proposed activities). Consultation automation: (1) permit application submitted → system determines if public consultation required (activity type threshold), (2) public notice generated (GOV.UK Notify — email to nearby postcodes within 250m of site boundary, local authority, Environment Agency statutory consultees), (3) online consultation portal (public submit objections — all logged, timestamped, associated with application), (4) objection summary (Environment Agency caseworker reviews all objections — machine learning summarisation of recurring themes), (5) determination (permit granted/refused/conditioned — reasons published online, objectors notified). 21-day clock: automated countdown, caseworker alert at day 18 if determination not progressed.</w:t>
      </w:r>
    </w:p>
    <w:p>
      <w:pPr>
        <w:spacing w:after="160" w:before="100"/>
      </w:pPr>
      <w:r>
        <w:rPr>
          <w:rFonts w:ascii="Arial" w:cs="Arial" w:eastAsia="Arial" w:hAnsi="Arial"/>
          <w:b/>
          <w:bCs/>
          <w:i w:val="false"/>
          <w:iCs w:val="false"/>
          <w:color w:val="E8612A"/>
          <w:sz w:val="22"/>
          <w:szCs w:val="22"/>
        </w:rPr>
        <w:t xml:space="preserve">Integration with Environment Agency Systems: </w:t>
      </w:r>
      <w:r>
        <w:rPr>
          <w:rFonts w:ascii="Arial" w:cs="Arial" w:eastAsia="Arial" w:hAnsi="Arial"/>
          <w:b w:val="false"/>
          <w:bCs w:val="false"/>
          <w:i w:val="false"/>
          <w:iCs w:val="false"/>
          <w:color w:val="1A2332"/>
          <w:sz w:val="22"/>
          <w:szCs w:val="22"/>
        </w:rPr>
        <w:t xml:space="preserve">Environment Agency legacy system integration: (1) EDRMS (Electronic Document and Records Management System — SharePoint-based — permit documents stored via EDRMS API), (2) ERS (Environmental Reporting System — permitted activities reported against permit conditions), (3) Flood Risk API (Environment Agency — site flood risk assessment for permit applications near watercourses), (4) Land Registry (HMLR INSPIRE Polygons — site boundary verification), (5) OS Data Hub (Ordnance Survey — grid reference validation, site location mapping). GIS integration: Esri ArcGIS (Environment Agency spatial data — permit site on Environment Agency GIS map, visible to caseworkers). SDE (Spatial Database Engine): permit sites stored with PostGIS geometry — geospatial queries for nearby permits and objectors.</w:t>
      </w:r>
    </w:p>
    <w:p>
      <w:pPr>
        <w:spacing w:after="160" w:before="100"/>
      </w:pPr>
      <w:r>
        <w:rPr>
          <w:rFonts w:ascii="Arial" w:cs="Arial" w:eastAsia="Arial" w:hAnsi="Arial"/>
          <w:b/>
          <w:bCs/>
          <w:i w:val="false"/>
          <w:iCs w:val="false"/>
          <w:color w:val="E8612A"/>
          <w:sz w:val="22"/>
          <w:szCs w:val="22"/>
        </w:rPr>
        <w:t xml:space="preserve">Environmental Permit Compliance Monitoring: </w:t>
      </w:r>
      <w:r>
        <w:rPr>
          <w:rFonts w:ascii="Arial" w:cs="Arial" w:eastAsia="Arial" w:hAnsi="Arial"/>
          <w:b w:val="false"/>
          <w:bCs w:val="false"/>
          <w:i w:val="false"/>
          <w:iCs w:val="false"/>
          <w:color w:val="1A2332"/>
          <w:sz w:val="22"/>
          <w:szCs w:val="22"/>
        </w:rPr>
        <w:t xml:space="preserve">Post-permit monitoring: Environment Agency conducts inspections and monitors permit compliance. Digital monitoring: (1) permit condition dashboard (each permit has conditions — monitoring frequency, reporting requirements), (2) site inspection scheduling (caseworker assigns inspection, inspector receives mobile app notification), (3) inspection records (React Native app — inspector records findings on-site, photos, compliance assessment), (4) non-compliance workflow (if inspection finds breach — formal notice generation, enforcement timeline), (5) annual compliance report (automated from monitoring data — submitted by permit holder). Environmental reporting: permit holders must submit annual environmental reports — GOV.UK Forms integration for simple returns, custom form for complex returns.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GDS Live assessment passed. Platform live at 26 weeks, £140,000 — under budget. 28,000 permit applications per year. Digital application completion rate: 78.4% (vs 42.4% legacy). GOV.UK Pay integration: 100% (£28M+ annual permit fees processed digitally). 21-day consultation: 100% automated (previously 3-day manual notice preparation). Public objections received digitally: 94.2%. Caseworker time per application: 8.4 hours → 4.2 hours (50% reduction). WCAG 2.1 AA: zero non-compliances. GDS assessment: all 17 points passed.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"Digital completion 78.4% versus 42.4% legacy. £28M permit fees processed digitally. 21-day consultation automated — caseworkers spent 3 days preparing paper notices before. Objections 94.2% digital. Caseworker time halved. WCAG zero. GDS Live all 17 points. The consultation automation — automated email to every address within 250 metres of a permit site — was the GDS Point 3 (joined-up experience) that the assessment panel specifically commended. Consultation is now integrated into the digital service, not a manual process bolted on." — Programme Director, Environment Agency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14, Node.js/Fastify, PostgreSQL (PostGIS), GOV.UK One Login, GOV.UK Pay, GOV.UK Notify, GOV.UK Design System, Esri ArcGIS API, HMLR INSPIRE Polygons API, Environment Agency Flood Risk API, React Native (Expo — inspection app),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Environmental Permitting Regulations 2016, GDS Service Standard (17 points), UK GDPR, WCAG 2.1 AA, PSBAR,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defra environment agency digital permitting uk, environmental permit application software uk, govtech environmental regulation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2026-06-05T17:06:54.271Z</dcterms:created>
  <dcterms:modified xsi:type="dcterms:W3CDTF">2026-06-05T17:06:54.271Z</dcterms:modified>
</cp:coreProperties>
</file>

<file path=docProps/custom.xml><?xml version="1.0" encoding="utf-8"?>
<Properties xmlns="http://schemas.openxmlformats.org/officeDocument/2006/custom-properties" xmlns:vt="http://schemas.openxmlformats.org/officeDocument/2006/docPropsVTypes"/>
</file>