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FCA RegTech Regulatory Reporting Automation -- ClickMasters Case Study
META DESC: UK FCA-authorised investment firm (discretionary wealth manager -- GBP4.2B AUM, 8,400 client portfolios) neede...
SLUG: /case-studies/fintech-fca-regtech-regulatory-reporting/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FCA RegTech Regulatory Reporting Automation</w:t>
      </w:r>
    </w:p>
    <w:p>
      <w:pPr>
        <w:spacing w:after="60" w:before="60"/>
      </w:pPr>
    </w:p>
    <w:p>
      <w:pPr>
        <w:pStyle w:val="Heading1"/>
        <w:spacing w:after="160" w:before="360"/>
      </w:pPr>
      <w:r>
        <w:rPr>
          <w:rFonts w:ascii="Arial" w:cs="Arial" w:eastAsia="Arial" w:hAnsi="Arial"/>
          <w:b/>
          <w:bCs/>
          <w:color w:val="0B1F3A"/>
          <w:sz w:val="40"/>
          <w:szCs w:val="40"/>
        </w:rPr>
        <w:t xml:space="preserve">FinTech FCA RegTech Regulatory Reporting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RegTech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RegTech | Tech: React, Node.js/Fastify, PostgreSQL, dbt, FCA GABRIEL API, DTCC ARM API, GLEIF LEI API, ANNA ISIN API, AWS SageMaker (STOR ML), AWS eu-west-2 | Compliance: FCA GABRIEL, UK MiFIR (RTS 22), FCA COBS 9A, MAR UK retained, ISO 27001, UK GDPR,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FCA-authorised investment firm (discretionary wealth manager -- GBP4.2B AUM, 8,400 client portfolios) needed to automate regulatory reporting: GABRIEL submissions, UK MiFIR trade reporting, Suspicious Transaction and Order Reports (STORs), and COBS 9A suitability reports. FCA GABRIEL API, UK MiFIR (RTS 22), MAR UK retained, COBS 9A, ISO 27001, UK GDPR.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FCA GABRIEL Automation: </w:t>
      </w:r>
      <w:r>
        <w:rPr>
          <w:rFonts w:ascii="Arial" w:cs="Arial" w:eastAsia="Arial" w:hAnsi="Arial"/>
          <w:b w:val="false"/>
          <w:bCs w:val="false"/>
          <w:i w:val="false"/>
          <w:iCs w:val="false"/>
          <w:color w:val="1A2332"/>
          <w:sz w:val="22"/>
          <w:szCs w:val="22"/>
        </w:rPr>
        <w:t xml:space="preserve">5 return types: FSA001 (Balance Sheet quarterly), FSA002 (Income Statement quarterly), MIF001 (MiFID II monthly), FIN068 (prudential quarterly), FIN069 (AUM quarterly). dbt data transformation pipeline -- general ledger to GABRIEL XML/JSON -- API submission. Reconciliation: every submission reconciles to GL audit trail. Error handling: GABRIEL validation errors alert to Compliance Officer -- 48-hour correction SLA.</w:t>
      </w:r>
    </w:p>
    <w:p>
      <w:pPr>
        <w:spacing w:after="160" w:before="100"/>
      </w:pPr>
      <w:r>
        <w:rPr>
          <w:rFonts w:ascii="Arial" w:cs="Arial" w:eastAsia="Arial" w:hAnsi="Arial"/>
          <w:b/>
          <w:bCs/>
          <w:i w:val="false"/>
          <w:iCs w:val="false"/>
          <w:color w:val="E8612A"/>
          <w:sz w:val="22"/>
          <w:szCs w:val="22"/>
        </w:rPr>
        <w:t xml:space="preserve">UK MiFIR Trade Reporting via ARM: </w:t>
      </w:r>
      <w:r>
        <w:rPr>
          <w:rFonts w:ascii="Arial" w:cs="Arial" w:eastAsia="Arial" w:hAnsi="Arial"/>
          <w:b w:val="false"/>
          <w:bCs w:val="false"/>
          <w:i w:val="false"/>
          <w:iCs w:val="false"/>
          <w:color w:val="1A2332"/>
          <w:sz w:val="22"/>
          <w:szCs w:val="22"/>
        </w:rPr>
        <w:t xml:space="preserve">(1) Trade capture (OMS via FIX or REST), (2) enrichment (ISIN via ANNA, LEI via GLEIF API), (3) RTS 22 report (65 transaction fields), (4) ARM submission (DTCC SFTP or TRAX API), (5) rejection handling (automated resubmission). T+1 deadline. Reconciliation: all OMS trades matched to ARM submission -- break investigation automated.</w:t>
      </w:r>
    </w:p>
    <w:p>
      <w:pPr>
        <w:spacing w:after="160" w:before="100"/>
      </w:pPr>
      <w:r>
        <w:rPr>
          <w:rFonts w:ascii="Arial" w:cs="Arial" w:eastAsia="Arial" w:hAnsi="Arial"/>
          <w:b/>
          <w:bCs/>
          <w:i w:val="false"/>
          <w:iCs w:val="false"/>
          <w:color w:val="E8612A"/>
          <w:sz w:val="22"/>
          <w:szCs w:val="22"/>
        </w:rPr>
        <w:t xml:space="preserve">STOR Workflow (MAR): </w:t>
      </w:r>
      <w:r>
        <w:rPr>
          <w:rFonts w:ascii="Arial" w:cs="Arial" w:eastAsia="Arial" w:hAnsi="Arial"/>
          <w:b w:val="false"/>
          <w:bCs w:val="false"/>
          <w:i w:val="false"/>
          <w:iCs w:val="false"/>
          <w:color w:val="1A2332"/>
          <w:sz w:val="22"/>
          <w:szCs w:val="22"/>
        </w:rPr>
        <w:t xml:space="preserve">(1) ML anomaly detection (pre-trade surveillance -- unusual order patterns, front-running indicators), (2) compliance analyst review, (3) STOR decision (documented rationale), (4) FCA GABRIEL STOR submission (within 1 business day), (5) 5-year record retention. False positive target: fewer than 10 alerts per trader per week.</w:t>
      </w:r>
    </w:p>
    <w:p>
      <w:pPr>
        <w:spacing w:after="160" w:before="100"/>
      </w:pPr>
      <w:r>
        <w:rPr>
          <w:rFonts w:ascii="Arial" w:cs="Arial" w:eastAsia="Arial" w:hAnsi="Arial"/>
          <w:b/>
          <w:bCs/>
          <w:i w:val="false"/>
          <w:iCs w:val="false"/>
          <w:color w:val="E8612A"/>
          <w:sz w:val="22"/>
          <w:szCs w:val="22"/>
        </w:rPr>
        <w:t xml:space="preserve">Suitability Report NLG (COBS 9A): </w:t>
      </w:r>
      <w:r>
        <w:rPr>
          <w:rFonts w:ascii="Arial" w:cs="Arial" w:eastAsia="Arial" w:hAnsi="Arial"/>
          <w:b w:val="false"/>
          <w:bCs w:val="false"/>
          <w:i w:val="false"/>
          <w:iCs w:val="false"/>
          <w:color w:val="1A2332"/>
          <w:sz w:val="22"/>
          <w:szCs w:val="22"/>
        </w:rPr>
        <w:t xml:space="preserve">(1) Client risk questionnaire to risk category, (2) portfolio proposal with asset allocation, (3) NLG-generated suitability report text, (4) PDF generation, (5) 5-year retention. Readability check: Flesch-Kincaid Grade Level under 8 (FCA Consumer Duty). Accuracy check: portfolio data versus report text reconciled before PDF generation.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compliance confirmed. Platform live at 22 weeks, GBP128,000 under budget. GABRIEL 100% automated (0 manual hours vs 3 days per quarter). MiFIR 100% T+1 (98,000 trades/year). 28 STORs all within 1 business day. Suitability reports 100% within 24 hours. Readability Grade Level 7.2. ISO 27001 maintained.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"GABRIEL automated -- 0 hours vs 3 days per quarter. MiFIR 100% T+1 (98,000 trades). 28 STORs all within 1 business day. Suitability reports 100% within 24 hours. Grade Level 7.2. ISO 27001. The NLG suitability reports -- readable, accurate, Consumer Duty compliant -- was the feature that surprised us. Reports clients actually read produce better investment decisions. That is the Consumer Duty outcome." -- Chief Compliance Officer, UK Wealth Manager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dbt, FCA GABRIEL API, DTCC ARM API, GLEIF LEI API, ANNA ISIN API, AWS SageMaker (STOR ML),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GABRIEL, UK MiFIR (RTS 22), FCA COBS 9A, MAR UK retained, ISO 27001, UK GDPR,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fca regtech regulatory reporting uk, gabriel mifir automation, fintech compliance reporting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2026-06-06T13:11:58.929Z</dcterms:created>
  <dcterms:modified xsi:type="dcterms:W3CDTF">2026-06-06T13:11:58.929Z</dcterms:modified>
</cp:coreProperties>
</file>

<file path=docProps/custom.xml><?xml version="1.0" encoding="utf-8"?>
<Properties xmlns="http://schemas.openxmlformats.org/officeDocument/2006/custom-properties" xmlns:vt="http://schemas.openxmlformats.org/officeDocument/2006/docPropsVTypes"/>
</file>