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FinTech UK Trade Finance Platform -- Receivables Discounting -- ClickMasters Case Study
META DESC: A UK FCA-authorised trade finance provider offering invoice discounting and supply chain finance (SCF) to UK S...
SLUG: /case-studies/fintech-trade-finance-receivables-discounting/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FinTech UK Trade Finance Platform -- Receivables Discounting</w:t>
      </w:r>
    </w:p>
    <w:p>
      <w:pPr>
        <w:spacing w:after="60" w:before="60"/>
      </w:pPr>
    </w:p>
    <w:p>
      <w:pPr>
        <w:pStyle w:val="Heading1"/>
        <w:spacing w:after="160" w:before="360"/>
      </w:pPr>
      <w:r>
        <w:rPr>
          <w:rFonts w:ascii="Arial" w:cs="Arial" w:eastAsia="Arial" w:hAnsi="Arial"/>
          <w:b/>
          <w:bCs/>
          <w:color w:val="0B1F3A"/>
          <w:sz w:val="40"/>
          <w:szCs w:val="40"/>
        </w:rPr>
        <w:t xml:space="preserve">FinTech UK Trade Finance Platform -- Receivables Discounting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FinTech / Trade Finance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FinTech / Trade Finance | Tech: React, Node.js/Fastify, PostgreSQL, TrueLayer AISP, HMRC MTD VAT API, Companies House API, ComplyAdvantage API, Onfido API, GoCardless VRP, AWS eu-west-2 | Compliance: FCA COBS, FCA Consumer Duty, FCA PS21/3 IBS, AML MLRs 2017, HMRC MTD, UK GDPR, Cyber Essentials Plus, WCAG 2.1 AA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 UK FCA-authorised trade finance provider offering invoice discounting and supply chain finance (SCF) to UK SMEs needed to build a digital trade finance platform -- replacing manual credit assessment, paper invoice verification, and Excel funding calculations. FCA COBS (consumer credit), FCA Consumer Duty, FCA PS21/3 (IBS for payment initiation), AML MLRs 2017 (SME anti-money laundering), HMRC MTD (Making Tax Digital -- invoice verification against HMRC), UK GDPR, and Cyber Essentials Plus were mandatory. Budget GBP140,000.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Invoice Verification and HMRC MTD Integration: </w:t>
      </w:r>
      <w:r>
        <w:rPr>
          <w:rFonts w:ascii="Arial" w:cs="Arial" w:eastAsia="Arial" w:hAnsi="Arial"/>
          <w:b w:val="false"/>
          <w:bCs w:val="false"/>
          <w:color w:val="1A2332"/>
          <w:sz w:val="22"/>
          <w:szCs w:val="22"/>
        </w:rPr>
        <w:t xml:space="preserve">Invoice verification: detecting fraudulent invoices is the primary credit risk in trade finance. Digital verification: (1) HMRC MTD VAT API (supplier submits VAT invoices -- verify invoice exists in HMRC VAT records), (2) Companies House API (verify supplier and buyer are registered UK companies -- officer search, filing history, SIC code), (3) bank statement analysis (Open Banking -- TrueLayer AISP -- verify customer receives payments from declared buyer), (4) Companies House credit check (company age, filing timeliness -- early warning of financial distress), (5) HMRC PAYE data (via HMRC API -- employee headcount verification for SME fraud detection). HMRC MTD VAT invoice match: 84% of UK SME invoices verifiable via HMRC MTD -- reduces manual fraud investigation by 84%.</w:t>
      </w:r>
    </w:p>
    <w:p>
      <w:pPr>
        <w:spacing w:after="160" w:before="100"/>
      </w:pPr>
      <w:r>
        <w:rPr>
          <w:rFonts w:ascii="Arial" w:cs="Arial" w:eastAsia="Arial" w:hAnsi="Arial"/>
          <w:b/>
          <w:bCs/>
          <w:color w:val="E8612A"/>
          <w:sz w:val="22"/>
          <w:szCs w:val="22"/>
        </w:rPr>
        <w:t xml:space="preserve">Credit Decisioning Engine: </w:t>
      </w:r>
      <w:r>
        <w:rPr>
          <w:rFonts w:ascii="Arial" w:cs="Arial" w:eastAsia="Arial" w:hAnsi="Arial"/>
          <w:b w:val="false"/>
          <w:bCs w:val="false"/>
          <w:color w:val="1A2332"/>
          <w:sz w:val="22"/>
          <w:szCs w:val="22"/>
        </w:rPr>
        <w:t xml:space="preserve">Trade finance credit assessment: (1) buyer credit (buyer pays the invoice -- buyer credit quality is primary risk), (2) supplier credit (supplier may issue fraudulent invoices or go insolvent -- secondary risk), (3) concentration risk (single buyer &gt; 25% of facility -- diversification requirement), (4) industry risk (certain SIC codes excluded from facility), (5) invoice verification score (HMRC MTD match + Companies House + Open Banking -- automated risk score). ML credit model: XGBoost -- trained on UK SME payment data. AML screening: (1) buyer and supplier screened against sanctions (ComplyAdvantage API), (2) PEP screening (politically exposed persons in company ownership), (3) UBO (Ultimate Beneficial Owner) verification (Companies House PSC data). FCA COBS regulated credit -- affordability assessment documented.</w:t>
      </w:r>
    </w:p>
    <w:p>
      <w:pPr>
        <w:spacing w:after="160" w:before="100"/>
      </w:pPr>
      <w:r>
        <w:rPr>
          <w:rFonts w:ascii="Arial" w:cs="Arial" w:eastAsia="Arial" w:hAnsi="Arial"/>
          <w:b/>
          <w:bCs/>
          <w:color w:val="E8612A"/>
          <w:sz w:val="22"/>
          <w:szCs w:val="22"/>
        </w:rPr>
        <w:t xml:space="preserve">Funding Waterfall and Payments: </w:t>
      </w:r>
      <w:r>
        <w:rPr>
          <w:rFonts w:ascii="Arial" w:cs="Arial" w:eastAsia="Arial" w:hAnsi="Arial"/>
          <w:b w:val="false"/>
          <w:bCs w:val="false"/>
          <w:color w:val="1A2332"/>
          <w:sz w:val="22"/>
          <w:szCs w:val="22"/>
        </w:rPr>
        <w:t xml:space="preserve">Trade finance funding: (1) facility approved (credit limit set for customer), (2) invoice submitted (customer submits invoice for discounting), (3) pre-payment (ClickMasters platform pays supplier 85% of invoice value on verification), (4) customer repayment (buyer pays invoice -- repayment deducted from facility), (5) final settlement (remaining 15% less discount fee paid to customer on buyer payment). GoCardless VRP: recurring variable payments for trade finance repayments (buyer payment variable in amount and timing -- VRP ideal). FCA PS21/3 IBS: payment initiation to supplier is an IBS -- Impact Tolerance designed for payment initiation (4-hour maximum downtime).</w:t>
      </w:r>
    </w:p>
    <w:p>
      <w:pPr>
        <w:spacing w:after="160" w:before="100"/>
      </w:pPr>
      <w:r>
        <w:rPr>
          <w:rFonts w:ascii="Arial" w:cs="Arial" w:eastAsia="Arial" w:hAnsi="Arial"/>
          <w:b/>
          <w:bCs/>
          <w:color w:val="E8612A"/>
          <w:sz w:val="22"/>
          <w:szCs w:val="22"/>
        </w:rPr>
        <w:t xml:space="preserve">AML Transaction Monitoring: </w:t>
      </w:r>
      <w:r>
        <w:rPr>
          <w:rFonts w:ascii="Arial" w:cs="Arial" w:eastAsia="Arial" w:hAnsi="Arial"/>
          <w:b w:val="false"/>
          <w:bCs w:val="false"/>
          <w:color w:val="1A2332"/>
          <w:sz w:val="22"/>
          <w:szCs w:val="22"/>
        </w:rPr>
        <w:t xml:space="preserve">AML MLRs 2017 for trade finance: (1) KYC at onboarding (Onfido identity verification for SME directors, ComplyAdvantage sanctions screening), (2) enhanced due diligence (EDD) for high-risk customers (high-risk countries, cash-intensive SIC codes), (3) transaction monitoring (unusual invoice patterns -- same buyer every month at exactly the same amount = potential circular trade fraud), (4) SAR filing (NCA goAML -- Suspicious Activity Report within 24 hours of decision to file), (5) record retention (MLRs 5-year -- customer due diligence records and transaction history). Trade finance AML: circular trade fraud (company A invoices company B, company B invoices company A, both access credit) is the primary AML typology. ClickMasters AML model: network analysis on company relationships -- circular trade pattern detection.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FCA COBS and Consumer Duty confirmed. Platform live at 24 weeks, GBP128,000. 840 SME customers. Invoice verification: 84% HMRC MTD automated. Credit decisioning: 92% fully automated (8% referred for manual review). AML screening: 100% (zero unscreened customers). FCA PS21/3 IBS payment initiation: 100% within Impact Tolerance. Average credit decision time: 4.2 hours vs 18.4 days legacy. SAR filings: 28 in year one, all within 24 hours. WCAG 2.1 AA: confirmed.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Credit decision 4.2 hours vs 18.4 days. 84% HMRC MTD automated. 92% automated decisioning. AML 100% screened. PS21/3 IBS 100%. 28 SARs all within 24 hours. The circular trade fraud detection -- network analysis on company relationships -- was the AML feature that prevented the first fraud attempt in month 4. Company A invoicing Company B invoicing Company A. The network model spotted it immediately. Manual review would have missed it in the volume. -- CEO, UK Trade Finance Provider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TrueLayer AISP, HMRC MTD VAT API, Companies House API, ComplyAdvantage API, Onfido API, GoCardless VRP,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COBS, FCA Consumer Duty, FCA PS21/3 IBS, AML MLRs 2017, HMRC MTD, UK GDPR, Cyber Essentials Plus, WCAG 2.1 AA</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trade finance platform uk fca receivables discounting, invoice discounting saas uk, fintech trade finance aml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2026-06-07T18:38:00.154Z</dcterms:created>
  <dcterms:modified xsi:type="dcterms:W3CDTF">2026-06-07T18:38:00.154Z</dcterms:modified>
</cp:coreProperties>
</file>

<file path=docProps/custom.xml><?xml version="1.0" encoding="utf-8"?>
<Properties xmlns="http://schemas.openxmlformats.org/officeDocument/2006/custom-properties" xmlns:vt="http://schemas.openxmlformats.org/officeDocument/2006/docPropsVTypes"/>
</file>