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HealthTech NHS AI Cervical Screening Platform -- MHRA Class IIb -- ClickMasters Case Study
META DESC: An NHS Trust cervical screening programme processing 84,000 cervical samples per year needed an AI-assisted pr...
SLUG: /case-studies/healthtech-nhs-ai-cervical-screening-mhra-class-iib/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HealthTech NHS AI Cervical Screening Platform -- MHRA Class IIb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HealthTech NHS AI Cervical Screening Platform -- MHRA Class IIb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HealthTech / Cervical Screening / AI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0"/>
                <w:szCs w:val="20"/>
              </w:rPr>
              <w:t xml:space="preserve">Sector: HealthTech / Cervical Screening / AI | Tech: React, Node.js/Fastify, PostgreSQL, ResNet-50 (PyTorch, fine-tuned), Hamamatsu NanoZoomer digital pathology API, HL7 v2.x, SNOMED CT, AWS SageMaker (model inference), AWS eu-west-2 | Compliance: MHRA Class IIb SaMD, UKCA (BSI Assurance UK), ISO 13485 QMS, IEC 62304 Class C, ISO 14971, DCB0129, NHS DTAC all 5 domains, NHSCSP standards, NHS AI Lab 14 Standards, UK GDPR Article 9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An NHS Trust cervical screening programme processing 84,000 cervical samples per year needed an AI-assisted primary screening platform -- using AI to triage liquid-based cytology (LBC) samples before cytologist review. MHRA Class IIb SaMD (AI performing primary screening triage -- Class IIb risk classification, higher than Class IIa), UK Notified Body (BSI Assurance UK), IEC 62304 Class C, ISO 14971, DCB0129, NHS DTAC all 5 domains, NHS Cervical Screening Programme (NHSCSP) standards, NHS AI Lab 14 Standards, UK GDPR Article 9. Budget GBP160,000.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MHRA Class IIb Regulatory Pathway: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MHRA Class IIb SaMD: AI that performs primary screening (first-pass analysis before cytologist) is Class IIb (higher clinical risk than decision support Class IIa -- AI is performing the screening step). Class IIb requirements above Class IIa: (1) UK Notified Body full Quality Management System audit (ISO 13485 QMS audit by BSI Assurance UK -- not just technical file review), (2) IEC 62304 Class C (highest software class -- all functions with clinical safety implications require full traceability), (3) clinical investigation (prospective clinical investigation -- not just validation study -- MHRA clinical investigation authorisation required), (4) post-market clinical follow-up (PMCF -- ongoing clinical evidence collection post-launch). Clinical investigation: ClickMasters supported MHRA CIV1 clinical investigation authorisation application -- 8-week MHRA review before investigation start.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AI Model for LBC Primary Screening: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LBC AI model: deep learning (ResNet-50 fine-tuned on NHSCSP LBC training data) performing primary screening of cervical cytology slides. Clinical workflow integration: (1) digital slide scanner (Hamamatsu NanoZoomer -- digitises LBC slide at 40x magnification), (2) AI primary screening (AI analyses digital slide -- confidence score per region, overall slide classification: normal/abnormal/inadequate), (3) normal triage (AI high-confidence normal slides set aside -- still reviewed by cytologist but deprioritised), (4) abnormal escalation (AI flags abnormal slides -- immediately reviewed by cytologist), (5) inadequate classification (AI flags inadequate samples -- laboratory recall process). NHSCSP sensitivity requirement: AI sensitivity for CIN2+ (pre-cancerous change Grade 2+) must be above 95% -- clinical validation required. Training data: 280,000 NHSCSP LBC slides (10-year dataset).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DCB0129 Class IIb Clinical Safety: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DCB0129 for Class IIb AI screening: higher clinical risk requires more extensive clinical safety case. Primary hazard: AI misclassifying a CIN2+ sample as normal (false negative -- patient not recalled). Mitigation: (1) AI cannot classify a slide as normal with 100% confidence -- all slides reviewed by cytologist (AI triage, not AI diagnosis), (2) double-read protocol (AI abnormal + cytologist abnormal: immediate referral; AI normal + cytologist abnormal: immediate referral; AI abnormal + cytologist normal: second cytologist review -- discordance protocol), (3) AI sensitivity monitoring (weekly -- AI sensitivity must stay above 95% CIN2+ -- automated alert if sensitivity drops below threshold), (4) cytologist override (cytologist can override AI classification -- all overrides reviewed monthly by Lead Cytologist). Clinical Safety Officer: Consultant Cytopathologist.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NHSCSP Programme Integration: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NHSCSP (NHS Cervical Screening Programme): national programme run by NHS England. Programme integration: (1) NCSP-is (Cervical Screening call-recall system -- GP patient lists, invitation management, result notification), (2) HL7 v2.x result reporting (LBC result reported to GP via HL7 ADT + ORU messages), (3) SNOMED CT coding (cervical cytology results coded in SNOMED CT -- Bethesda System terminology UK equivalent), (4) national statistics (annual return to NHS England -- sample volumes, abnormality rates, CIN2+ detection rate). PHE target: CIN2+ detection rate above national average -- AI primary screening expected to improve detection rate by 12-18%.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MHRA Class IIb UKCA obtained (BSI Assurance UK, ISO 13485 QMS audit passed). Platform live at 40 weeks, GBP152,000. 84,000 samples/year. AI sensitivity CIN2+: 97.2% (NHSCSP target: 95%). AI specificity: 84.8%. AI normal triage: 52.4% of slides classified normal (cytologist workload reduction). Double-read triggers: 3.8% of slides. Discordance review: all actioned within 24 hours. NHS AI Lab all 14 standards documented. DCB0129: zero clinical safety incidents.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UKCA Class IIb obtained. AI sensitivity 97.2% vs 95% NHSCSP target. Cytologist workload 52.4% triage reduction. Discordance 3.8%. AI Lab all 14. DCB0129 zero. The double-read protocol -- AI abnormal plus cytologist normal triggers second cytologist review -- was the DCB0129 design that made this clinically safe. AI triage means the cytologist reviews every slide. But the cytologist who reviews an AI-abnormal slide that they personally classify normal must have that classification reviewed by a colleague. That discordance protocol adds one review per 26 slides and catches the cases where the AI was right and the cytologist was wrong. -- Lead Cytopathologist, NHS Trust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React, Node.js/Fastify, PostgreSQL, ResNet-50 (PyTorch, fine-tuned), Hamamatsu NanoZoomer digital pathology API, HL7 v2.x, SNOMED CT, AWS SageMaker (model inference),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MHRA Class IIb SaMD, UKCA (BSI Assurance UK), ISO 13485 QMS, IEC 62304 Class C, ISO 14971, DCB0129, NHS DTAC all 5 domains, NHSCSP standards, NHS AI Lab 14 Standards, UK GDPR Article 9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Article | nhs ai cervical screening platform mhra class iib, cervical screening ai uk nhscsp, healthtech cervical cytology ai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2026-06-07T18:47:57.606Z</dcterms:created>
  <dcterms:modified xsi:type="dcterms:W3CDTF">2026-06-07T18:47:57.606Z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