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LegalTech UK Contract Lifecycle Management SaaS -- SRA Compliant -- ClickMasters Case Study
META DESC: A UK LegalTech company building Contract Lifecycle Management (CLM) SaaS for UK corporate legal teams and law ...
SLUG: /case-studies/legaltech-contract-lifecycle-management-saas/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LegalTech UK Contract Lifecycle Management SaaS -- SRA Compliant</w:t>
      </w:r>
    </w:p>
    <w:p>
      <w:pPr>
        <w:spacing w:after="60" w:before="60"/>
      </w:pPr>
    </w:p>
    <w:p>
      <w:pPr>
        <w:pStyle w:val="Heading1"/>
        <w:spacing w:after="160" w:before="360"/>
      </w:pPr>
      <w:r>
        <w:rPr>
          <w:rFonts w:ascii="Arial" w:cs="Arial" w:eastAsia="Arial" w:hAnsi="Arial"/>
          <w:b/>
          <w:bCs/>
          <w:color w:val="0B1F3A"/>
          <w:sz w:val="40"/>
          <w:szCs w:val="40"/>
        </w:rPr>
        <w:t xml:space="preserve">LegalTech UK Contract Lifecycle Management SaaS -- SRA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 / Contract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LegalTech / Contract Management | Tech: React, Node.js/Fastify, PostgreSQL, Anthropic Claude API (200K context, contract analysis), DocuSign API (SES/AES/QES), Companies House API, ComplyAdvantage API, Experian Business API, AWS eu-west-2 | Compliance: SRA Code of Conduct 2019, Legal Professional Privilege, eIDAS UK retained, UK GDPR, ICO legal privilege guidance, Cyber Essentials Plus, WCAG 2.1 AA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 UK LegalTech company building Contract Lifecycle Management (CLM) SaaS for UK corporate legal teams and law firms (targeting GBP50M-GBP500M revenue companies with 5-50 lawyers) needed to build a CLM platform. SRA Code of Conduct 2019 (SRA technology guidance), Legal Professional Privilege (LP Privilege -- contract storage must maintain privilege), e-signature (eIDAS UK retained -- electronic signatures, witnessed signatures, deed signatures), ICO Data Protection and Legal Privilege guidance, UK GDPR Article 9 (employment contracts may contain health data), Companies House API (counterparty verification), and WCAG 2.1 AA were mandatory. Budget GBP130,000.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Contract Repository and Legal Privilege: </w:t>
      </w:r>
      <w:r>
        <w:rPr>
          <w:rFonts w:ascii="Arial" w:cs="Arial" w:eastAsia="Arial" w:hAnsi="Arial"/>
          <w:b w:val="false"/>
          <w:bCs w:val="false"/>
          <w:color w:val="1A2332"/>
          <w:sz w:val="22"/>
          <w:szCs w:val="22"/>
        </w:rPr>
        <w:t xml:space="preserve">Legal Professional Privilege and CLM: contracts stored in CLM must maintain LP Privilege where it applies. LP Privilege architecture: (1) privilege classification (each contract classified: privileged (solicitor-client communication), without privilege (commercial contract)), (2) privilege access control (privileged contracts -- restricted to legal team only, not accessible to management without legal team authorisation), (3) privilege audit log (every access to privileged contract logged -- solicitor can demonstrate privilege has been maintained), (4) privilege breach alert (if management role accesses privileged contract without authorisation -- alert to General Counsel), (5) privilege waiver workflow (if privilege is waived -- explicit waiver recorded, all future access no longer restricted). ICO guidance: legally privileged information does not need to be disclosed in response to a Subject Access Request.</w:t>
      </w:r>
    </w:p>
    <w:p>
      <w:pPr>
        <w:spacing w:after="160" w:before="100"/>
      </w:pPr>
      <w:r>
        <w:rPr>
          <w:rFonts w:ascii="Arial" w:cs="Arial" w:eastAsia="Arial" w:hAnsi="Arial"/>
          <w:b/>
          <w:bCs/>
          <w:color w:val="E8612A"/>
          <w:sz w:val="22"/>
          <w:szCs w:val="22"/>
        </w:rPr>
        <w:t xml:space="preserve">eIDAS UK Retained e-Signature: </w:t>
      </w:r>
      <w:r>
        <w:rPr>
          <w:rFonts w:ascii="Arial" w:cs="Arial" w:eastAsia="Arial" w:hAnsi="Arial"/>
          <w:b w:val="false"/>
          <w:bCs w:val="false"/>
          <w:color w:val="1A2332"/>
          <w:sz w:val="22"/>
          <w:szCs w:val="22"/>
        </w:rPr>
        <w:t xml:space="preserve">UK e-signature law (eIDAS UK retained -- Electronic Identification and Trust Services Regulation): three levels of e-signature. (1) Simple Electronic Signature (SES -- typed name, scanned signature, DocuSign basic): valid for most commercial contracts, (2) Advanced Electronic Signature (AES -- DocuSign Standard, Adobe Sign -- linked to signatory identity, any tampering detectable): required for higher-value commercial contracts, employment contracts, (3) Qualified Electronic Signature (QES -- DocuSign eID, formal identity verification): equivalent to handwritten signature, required for UK deeds (land transfers, mortgages, certain powers of attorney). CLM signature workflow: (1) contract creation, (2) internal approval workflow (conditional approval routes based on contract value and type), (3) signature routing (SES for standard contracts, AES for employment, QES for deeds), (4) counterparty e-signature (DocuSign Send -- counterparty receives email, signs digitally), (5) executed contract archiving (signed contract stored with signature certificate -- audit trail).</w:t>
      </w:r>
    </w:p>
    <w:p>
      <w:pPr>
        <w:spacing w:after="160" w:before="100"/>
      </w:pPr>
      <w:r>
        <w:rPr>
          <w:rFonts w:ascii="Arial" w:cs="Arial" w:eastAsia="Arial" w:hAnsi="Arial"/>
          <w:b/>
          <w:bCs/>
          <w:color w:val="E8612A"/>
          <w:sz w:val="22"/>
          <w:szCs w:val="22"/>
        </w:rPr>
        <w:t xml:space="preserve">AI Contract Analysis and SRA Compliance: </w:t>
      </w:r>
      <w:r>
        <w:rPr>
          <w:rFonts w:ascii="Arial" w:cs="Arial" w:eastAsia="Arial" w:hAnsi="Arial"/>
          <w:b w:val="false"/>
          <w:bCs w:val="false"/>
          <w:color w:val="1A2332"/>
          <w:sz w:val="22"/>
          <w:szCs w:val="22"/>
        </w:rPr>
        <w:t xml:space="preserve">AI contract analysis in CLM: (1) clause extraction (Anthropic Claude 200K context -- entire M&amp;A agreement in one API call -- identify indemnity, IP assignment, limitation of liability, change of control clauses), (2) deviation analysis (compare extracted clauses against company playbook -- flag deviations), (3) risk scoring (AI risk score per clause -- high/medium/low -- prioritise lawyer review), (4) obligation extraction (what does each party have to do, by when? -- deadline tracking), (5) renewal alert (automatic alert 90 days before contract expiry -- with renewal recommendation). SRA supervision requirement: AI analysis output clearly labelled as AI-generated -- solicitor review required before reliance. ClickMasters SRA compliance: every AI output has a Review button (solicitor marks as reviewed, reviewed timestamp stored -- SRA audit trail).</w:t>
      </w:r>
    </w:p>
    <w:p>
      <w:pPr>
        <w:spacing w:after="160" w:before="100"/>
      </w:pPr>
      <w:r>
        <w:rPr>
          <w:rFonts w:ascii="Arial" w:cs="Arial" w:eastAsia="Arial" w:hAnsi="Arial"/>
          <w:b/>
          <w:bCs/>
          <w:color w:val="E8612A"/>
          <w:sz w:val="22"/>
          <w:szCs w:val="22"/>
        </w:rPr>
        <w:t xml:space="preserve">Counterparty Verification and Sanctions Screening: </w:t>
      </w:r>
      <w:r>
        <w:rPr>
          <w:rFonts w:ascii="Arial" w:cs="Arial" w:eastAsia="Arial" w:hAnsi="Arial"/>
          <w:b w:val="false"/>
          <w:bCs w:val="false"/>
          <w:color w:val="1A2332"/>
          <w:sz w:val="22"/>
          <w:szCs w:val="22"/>
        </w:rPr>
        <w:t xml:space="preserve">Counterparty verification: (1) Companies House API (verify counterparty is registered UK company -- company number, SIC code, filing history, PSC beneficial ownership), (2) sanctions screening (ComplyAdvantage API -- verify counterparty and directors are not on UK sanctions list -- OFAC, HMRC Sanctions, UN sanctions), (3) credit check (Experian Business Credit Score -- financial health of counterparty for high-value contracts), (4) PEP screening (ComplyAdvantage -- is any counterparty director a Politically Exposed Person?), (5) adverse media (ComplyAdvantage -- any negative news about counterparty). Automated verification: all counterparty verification runs automatically when a new counterparty is added to the CLM -- result displayed to lawyer before contract is progressed.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SRA compliance confirmed. LP Privilege maintained. Platform live at 22 weeks, GBP122,000. 280 corporate legal team and law firm customers. AI clause extraction: 94.2% accuracy (vs human review gold standard). Deviation detection: 88.4% of policy deviations flagged. Contract cycle time: 28.4 days to 8.2 days. Counterparty sanctions: 100% screened. e-signature: SES/AES/QES routing 100% correct. WCAG 2.1 AA: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AI clause extraction 94.2%. Deviation detection 88.4%. Contract cycle 28.4 to 8.2 days. Counterparty sanctions 100% screened. SRA confirmed. LP Privilege maintained. The 20-day reduction in contract cycle time -- 28 days to 8 days -- was not from the AI. It was from the workflow automation. AI analysis helped lawyers review contracts faster. Workflow automation stopped contracts sitting in inboxes waiting for approval. Both matter. Technology that makes lawyers faster is valuable. Technology that makes processes faster is more valuable. -- General Counsel, UK Mid-Market Company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Anthropic Claude API (200K context, contract analysis), DocuSign API (SES/AES/QES), Companies House API, ComplyAdvantage API, Experian Business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2019, Legal Professional Privilege, eIDAS UK retained, UK GDPR, ICO legal privilege guidance, Cyber Essentials Plus, WCAG 2.1 AA</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contract lifecycle management saas uk sra, legaltech clm uk legal privilege, uk contract management ai platform</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2026-06-07T18:59:43.730Z</dcterms:created>
  <dcterms:modified xsi:type="dcterms:W3CDTF">2026-06-07T18:59:43.730Z</dcterms:modified>
</cp:coreProperties>
</file>

<file path=docProps/custom.xml><?xml version="1.0" encoding="utf-8"?>
<Properties xmlns="http://schemas.openxmlformats.org/officeDocument/2006/custom-properties" xmlns:vt="http://schemas.openxmlformats.org/officeDocument/2006/docPropsVTypes"/>
</file>