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FinTech Open Banking PFM App -- FCA and Consumer Duty -- ClickMasters Case Study
META DESC: UK FinTech building Personal Finance Management app (iOS + Android, 280,000 users year one) using Open Banking...
SLUG: /case-studies/fintech-open-banking-pfm-app/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Open Banking PFM App -- FCA and Consumer Duty</w:t>
      </w:r>
    </w:p>
    <w:p>
      <w:pPr>
        <w:spacing w:after="60" w:before="60"/>
      </w:pPr>
    </w:p>
    <w:p>
      <w:pPr>
        <w:pStyle w:val="Heading1"/>
        <w:spacing w:after="160" w:before="360"/>
      </w:pPr>
      <w:r>
        <w:rPr>
          <w:rFonts w:ascii="Arial" w:cs="Arial" w:eastAsia="Arial" w:hAnsi="Arial"/>
          <w:b/>
          <w:bCs/>
          <w:color w:val="0B1F3A"/>
          <w:sz w:val="40"/>
          <w:szCs w:val="40"/>
        </w:rPr>
        <w:t xml:space="preserve">FinTech Open Banking PFM App -- FCA and Consumer Duty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PFM / Open Banking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FinTech / PFM / Open Banking | Tech: React Native (Expo), Node.js/Fastify, PostgreSQL, TrueLayer AISP, XGBoost (ML), AWS SageMaker, GOV.UK Notify, AWS eu-west-2 | Compliance: FCA AISP (TrueLayer), FCA Consumer Duty (PS22/9), Open Banking 90-day consent, ICO DPIA, PECR, ICO AADC, UK GDPR,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UK FinTech building Personal Finance Management app (iOS + Android, 280,000 users year one) using Open Banking. TrueLayer AISP, 90-day re-consent management, ICO DPIA (financial behaviour profiling), FCA Consumer Duty, PECR, UK GDPR, ICO AADC (some users under-18). Budget GBP110,000.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TrueLayer AISP Integration: </w:t>
      </w:r>
      <w:r>
        <w:rPr>
          <w:rFonts w:ascii="Arial" w:cs="Arial" w:eastAsia="Arial" w:hAnsi="Arial"/>
          <w:b w:val="false"/>
          <w:bCs w:val="false"/>
          <w:color w:val="1A2332"/>
          <w:sz w:val="22"/>
          <w:szCs w:val="22"/>
        </w:rPr>
        <w:t xml:space="preserve">(1) Bank connection flow (React Native TrueLayer Link SDK), (2) bank data retrieval (balance, transactions, direct debits, standing orders), (3) 90-day re-consent management (GOV.UK Notify reminder 7 days before expiry -- not dark pattern), (4) multi-bank aggregation (current, savings, credit card), (5) real-time balance (TrueLayer webhook). TrueLayer holds FCA AISP -- client operates as registered agent.</w:t>
      </w:r>
    </w:p>
    <w:p>
      <w:pPr>
        <w:spacing w:after="160" w:before="100"/>
      </w:pPr>
      <w:r>
        <w:rPr>
          <w:rFonts w:ascii="Arial" w:cs="Arial" w:eastAsia="Arial" w:hAnsi="Arial"/>
          <w:b/>
          <w:bCs/>
          <w:color w:val="E8612A"/>
          <w:sz w:val="22"/>
          <w:szCs w:val="22"/>
        </w:rPr>
        <w:t xml:space="preserve">Transaction Categorisation ML: </w:t>
      </w:r>
      <w:r>
        <w:rPr>
          <w:rFonts w:ascii="Arial" w:cs="Arial" w:eastAsia="Arial" w:hAnsi="Arial"/>
          <w:b w:val="false"/>
          <w:bCs w:val="false"/>
          <w:color w:val="1A2332"/>
          <w:sz w:val="22"/>
          <w:szCs w:val="22"/>
        </w:rPr>
        <w:t xml:space="preserve">(1) Merchant identification from TrueLayer, (2) XGBoost classifier (UK merchants -- Tesco, Waitrose, Deliveroo, ASOS -- custom UK training data), (3) category correction (customer correction used as training signal), (4) budget tracking (category budget vs spending alert). ICO AI fairness: categorisation accuracy tested for demographic bias.</w:t>
      </w:r>
    </w:p>
    <w:p>
      <w:pPr>
        <w:spacing w:after="160" w:before="100"/>
      </w:pPr>
      <w:r>
        <w:rPr>
          <w:rFonts w:ascii="Arial" w:cs="Arial" w:eastAsia="Arial" w:hAnsi="Arial"/>
          <w:b/>
          <w:bCs/>
          <w:color w:val="E8612A"/>
          <w:sz w:val="22"/>
          <w:szCs w:val="22"/>
        </w:rPr>
        <w:t xml:space="preserve">ICO DPIA for Financial Profiling: </w:t>
      </w:r>
      <w:r>
        <w:rPr>
          <w:rFonts w:ascii="Arial" w:cs="Arial" w:eastAsia="Arial" w:hAnsi="Arial"/>
          <w:b w:val="false"/>
          <w:bCs w:val="false"/>
          <w:color w:val="1A2332"/>
          <w:sz w:val="22"/>
          <w:szCs w:val="22"/>
        </w:rPr>
        <w:t xml:space="preserve">DPIA mandatory (Article 35 -- systematic financial behaviour monitoring): (1) lawful basis (legitimate interest for core PFM), (2) no third-party sharing without explicit consent per category, (3) credit risk inference gate (if inferring creditworthiness from spending -- FCA Consumer Credit authorisation required), (4) sensitive spending (gambling, healthcare visible -- extra care), (5) consent-first architecture throughout.</w:t>
      </w:r>
    </w:p>
    <w:p>
      <w:pPr>
        <w:spacing w:after="160" w:before="100"/>
      </w:pPr>
      <w:r>
        <w:rPr>
          <w:rFonts w:ascii="Arial" w:cs="Arial" w:eastAsia="Arial" w:hAnsi="Arial"/>
          <w:b/>
          <w:bCs/>
          <w:color w:val="E8612A"/>
          <w:sz w:val="22"/>
          <w:szCs w:val="22"/>
        </w:rPr>
        <w:t xml:space="preserve">FCA Consumer Duty PFM Design: </w:t>
      </w:r>
      <w:r>
        <w:rPr>
          <w:rFonts w:ascii="Arial" w:cs="Arial" w:eastAsia="Arial" w:hAnsi="Arial"/>
          <w:b w:val="false"/>
          <w:bCs w:val="false"/>
          <w:color w:val="1A2332"/>
          <w:sz w:val="22"/>
          <w:szCs w:val="22"/>
        </w:rPr>
        <w:t xml:space="preserve">(1) Product designed to genuinely help customers manage money (not data harvest), (2) nudges must be in customer interest (not engagement maximisation), (3) financial promotions (if PFM promotes products -- FCA financial promotion rules apply), (4) vulnerability signals (financial distress UX -- what to show a customer in difficulty), (5) data portability (UK GDPR Article 20 -- customer can export all their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FCA AISP confirmed (via TrueLayer). Consumer Duty confirmed. Platform live at 18 weeks, GBP102,000. 280,000 iOS + Android users. Bank connections 84.2%. Categorisation accuracy 94.2%. 90-day re-consent rate 82.4%. ICO DPIA filed. PECR marketing consent 68.4%. Zero third-party sharing without consent.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The 90-day re-consent reminder sent 7 days before expiry -- not the day before -- was the Consumer Duty feature that maintained trust. Customers who feel in control of their data use the product more. Open Banking consent should feel like permission freely given, renewable freely. Not an emergency renewal forced on the last day. -- CEO, UK PFM FinTech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(Expo), Node.js/Fastify, PostgreSQL, TrueLayer AISP, XGBoost (ML), AWS SageMaker,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AISP (TrueLayer), FCA Consumer Duty (PS22/9), Open Banking 90-day consent, ICO DPIA, PECR, ICO AADC, UK GDPR,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open banking pfm app uk fca aisp, personal finance management app uk, fintech open banking pfm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2026-06-08T04:41:19.849Z</dcterms:created>
  <dcterms:modified xsi:type="dcterms:W3CDTF">2026-06-08T04:41:19.849Z</dcterms:modified>
</cp:coreProperties>
</file>

<file path=docProps/custom.xml><?xml version="1.0" encoding="utf-8"?>
<Properties xmlns="http://schemas.openxmlformats.org/officeDocument/2006/custom-properties" xmlns:vt="http://schemas.openxmlformats.org/officeDocument/2006/docPropsVTypes"/>
</file>