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PropTech UK Commercial Real Estate Data Platform -- ClickMasters Case Study
META DESC: A UK property data company providing commercial real estate (CRE) market intelligence to institutional investo...
SLUG: /case-studies/proptech-uk-commercial-real-estate-data/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PropTech UK Commercial Real Estate Data Platform</w:t>
      </w:r>
    </w:p>
    <w:p>
      <w:pPr>
        <w:spacing w:after="60" w:before="60"/>
      </w:pPr>
    </w:p>
    <w:p>
      <w:pPr>
        <w:pStyle w:val="Heading1"/>
        <w:spacing w:after="160" w:before="360"/>
      </w:pPr>
      <w:r>
        <w:rPr>
          <w:rFonts w:ascii="Arial" w:cs="Arial" w:eastAsia="Arial" w:hAnsi="Arial"/>
          <w:b/>
          <w:bCs/>
          <w:color w:val="0B1F3A"/>
          <w:sz w:val="40"/>
          <w:szCs w:val="40"/>
        </w:rPr>
        <w:t xml:space="preserve">PropTech UK Commercial Real Estate Data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 / Commercial Real Estate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PropTech / Commercial Real Estate | Tech: React, Node.js/Fastify, PostgreSQL, Python (dbt, pandas), HMLR Commercial API, EPC Register API, OS AddressBase Premium API, Companies House API, Planning Portal API, AWS eu-west-2 | Compliance: RICS Data Standards, FCA MAR (UK retained), UK GDPR,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property data company providing commercial real estate (CRE) market intelligence to institutional investors, developers, and occupiers needed to build a CRE data platform -- aggregating data from HMLR Commercial (commercial property transactions), CoStar (commercial property database), EPC Register (commercial EPCs), HMRC SDLT (Stamp Duty Land Tax filings), and Planning Portal (planning applications). RICS Data Standards, FCA MAR (Market Abuse Regulation UK -- institutional investors using CRE data are FCA regulated), UK GDPR, Cyber Essentials Plus, WCAG 2.1 AA.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HMLR Commercial Data Pipeline: </w:t>
      </w:r>
      <w:r>
        <w:rPr>
          <w:rFonts w:ascii="Arial" w:cs="Arial" w:eastAsia="Arial" w:hAnsi="Arial"/>
          <w:b w:val="false"/>
          <w:bCs w:val="false"/>
          <w:color w:val="1A2332"/>
          <w:sz w:val="22"/>
          <w:szCs w:val="22"/>
        </w:rPr>
        <w:t xml:space="preserve">HMLR Commercial transactions: Land Registry commercial price paid data -- all commercial property transactions in England and Wales. Pipeline: (1) HMLR Commercial Transactions CSV (monthly bulk download -- 2M+ transactions since 1995), (2) data ingestion (dbt pipeline -- validation, deduplication, geographic enrichment), (3) UPRN matching (Ordnance Survey AddressBase -- match property address to UPRN for cross-source joining), (4) company matching (Companies House API -- match buyer/seller to registered company -- beneficial ownership research), (5) index calculation (commercial property price indices by sector: offices, retail, industrial, mixed-use -- comparable to MSCI UK IPD index). RICS Data Standards: HMLR commercial data enriched with RICS property classification codes.</w:t>
      </w:r>
    </w:p>
    <w:p>
      <w:pPr>
        <w:spacing w:after="160" w:before="100"/>
      </w:pPr>
      <w:r>
        <w:rPr>
          <w:rFonts w:ascii="Arial" w:cs="Arial" w:eastAsia="Arial" w:hAnsi="Arial"/>
          <w:b/>
          <w:bCs/>
          <w:color w:val="E8612A"/>
          <w:sz w:val="22"/>
          <w:szCs w:val="22"/>
        </w:rPr>
        <w:t xml:space="preserve">EPC Commercial Data and MEES Compliance: </w:t>
      </w:r>
      <w:r>
        <w:rPr>
          <w:rFonts w:ascii="Arial" w:cs="Arial" w:eastAsia="Arial" w:hAnsi="Arial"/>
          <w:b w:val="false"/>
          <w:bCs w:val="false"/>
          <w:color w:val="1A2332"/>
          <w:sz w:val="22"/>
          <w:szCs w:val="22"/>
        </w:rPr>
        <w:t xml:space="preserve">Commercial EPC (Energy Performance Certificate): all commercial properties for sale or let require EPC. MEES (Minimum Energy Efficiency Standards) for commercial: (1) from April 2023: EPC E minimum for existing commercial leases, (2) from April 2027: EPC D minimum, (3) from April 2030: EPC B minimum. CRE data platform: (1) EPC Register API (current EPC per property -- rating, expiry, assessor), (2) MEES compliance forecast (which properties will breach future MEES thresholds?), (3) improvement modelling (what measures needed for MEES compliance? -- insulation, HVAC, glazing), (4) portfolio analysis (institutional fund-level MEES compliance -- Green Street equivalent analysis), (5) TCFD climate risk reporting (Scope 1/2 emissions from commercial property portfolio). Net Zero commitments: commercial tenants increasingly require EPC A or B properties -- affecting rental values.</w:t>
      </w:r>
    </w:p>
    <w:p>
      <w:pPr>
        <w:spacing w:after="160" w:before="100"/>
      </w:pPr>
      <w:r>
        <w:rPr>
          <w:rFonts w:ascii="Arial" w:cs="Arial" w:eastAsia="Arial" w:hAnsi="Arial"/>
          <w:b/>
          <w:bCs/>
          <w:color w:val="E8612A"/>
          <w:sz w:val="22"/>
          <w:szCs w:val="22"/>
        </w:rPr>
        <w:t xml:space="preserve">Planning Portal and Development Pipeline: </w:t>
      </w:r>
      <w:r>
        <w:rPr>
          <w:rFonts w:ascii="Arial" w:cs="Arial" w:eastAsia="Arial" w:hAnsi="Arial"/>
          <w:b w:val="false"/>
          <w:bCs w:val="false"/>
          <w:color w:val="1A2332"/>
          <w:sz w:val="22"/>
          <w:szCs w:val="22"/>
        </w:rPr>
        <w:t xml:space="preserve">Planning Portal data integration: commercial development pipeline analysis. (1) Planning Portal API (planning applications -- major commercial developments, office conversions, retail to residential), (2) pre-application enquiries (not publicly available -- enriched via local authority contacts), (3) planning decision data (permitted, refused, appealed -- planning success rates by LA and development type), (4) construction starts (planning approved + building regulations start -- estimate construction pipeline), (5) completion data (HMRC SDLT filing for new development sale = evidence of completion). Development pipeline: institutional investors use CRE data platform to identify development opportunities before public market. CRE data edge: early identification of planning applications before they appear on major portals (CoStar, Rightmove Commercial).</w:t>
      </w:r>
    </w:p>
    <w:p>
      <w:pPr>
        <w:spacing w:after="160" w:before="100"/>
      </w:pPr>
      <w:r>
        <w:rPr>
          <w:rFonts w:ascii="Arial" w:cs="Arial" w:eastAsia="Arial" w:hAnsi="Arial"/>
          <w:b/>
          <w:bCs/>
          <w:color w:val="E8612A"/>
          <w:sz w:val="22"/>
          <w:szCs w:val="22"/>
        </w:rPr>
        <w:t xml:space="preserve">FCA MAR Compliance for CRE Data: </w:t>
      </w:r>
      <w:r>
        <w:rPr>
          <w:rFonts w:ascii="Arial" w:cs="Arial" w:eastAsia="Arial" w:hAnsi="Arial"/>
          <w:b w:val="false"/>
          <w:bCs w:val="false"/>
          <w:color w:val="1A2332"/>
          <w:sz w:val="22"/>
          <w:szCs w:val="22"/>
        </w:rPr>
        <w:t xml:space="preserve">FCA MAR (Market Abuse Regulation UK retained): institutional investors using CRE data must ensure data use does not constitute market abuse. CRE data MAR analysis: (1) inside information (CRE data derived from public sources -- HMLR, EPC, Planning Portal -- is not inside information), (2) market manipulation (publishing CRE indices designed to mislead market -- ClickMasters indices methodology transparent and documented), (3) Chinese walls (CRE data company must not share data between investment banking clients who are potential CRE transaction counterparties), (4) data entitlement (institutional clients must be entitled to use CRE data for their specific purpose -- entitlement documented in data licence), (5) record keeping (FCA expects firms to retain records of data use by institutional clients -- 5-year retention). ClickMasters CRE MAR compliance: methodology documentation and data licence template for institutional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22 weeks, GBP122,000. 2M+ HMLR transactions. Real-time EPC for 180,000 commercial properties. Planning pipeline: 42,000 active applications. MEES compliance forecast: 84,000 commercial properties assessed. RICS data standards compliant. FCA MAR methodology documented. WCAG 2.1 AA: confirmed. Institutional client NPS: 78.</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2M+ transactions. 180,000 EPCs. 42,000 planning applications. MEES forecast 84,000 properties. RICS compliant. MAR methodology documented. NPS 78. The MEES compliance forecasting -- which commercial properties will breach EPC B by 2030 -- was the feature that converted institutional investors from curious to committed customers. Fund managers managing commercial property portfolios need to know their MEES exposure before the market prices it in. Our platform tells them 4 years early. That is the alpha. -- CEO, UK PropTech CRE Data Company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Python (dbt, pandas), HMLR Commercial API, EPC Register API, OS AddressBase Premium API, Companies House API, Planning Portal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RICS Data Standards, FCA MAR (UK retained), UK GDPR,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commercial real estate data platform uk rics, proptech cre data platform uk, commercial property data analytics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2026-06-08T04:57:07.563Z</dcterms:created>
  <dcterms:modified xsi:type="dcterms:W3CDTF">2026-06-08T04:57:07.563Z</dcterms:modified>
</cp:coreProperties>
</file>

<file path=docProps/custom.xml><?xml version="1.0" encoding="utf-8"?>
<Properties xmlns="http://schemas.openxmlformats.org/officeDocument/2006/custom-properties" xmlns:vt="http://schemas.openxmlformats.org/officeDocument/2006/docPropsVTypes"/>
</file>