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META TITLE: InsurTech UK Legal Expenses Insurance Claims Platform -- ClickMasters Case Study
META DESC: A UK FCA-authorised Legal Expenses Insurance (LEI) provider (280,000 policies, GBP42M gross written premium) n...
SLUG: /case-studies/insurtech-legal-expenses-insurance-claims/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Last updated: June 2026  |  Reading time: 6 min  |  Written by: ClickMasters Case Study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&gt; </w:t>
      </w:r>
      <w:r>
        <w:rPr>
          <w:rFonts w:ascii="Arial" w:cs="Arial" w:eastAsia="Arial" w:hAnsi="Arial"/>
          <w:b w:val="false"/>
          <w:bCs w:val="false"/>
          <w:color w:val="1A4A8A"/>
          <w:sz w:val="18"/>
          <w:szCs w:val="18"/>
        </w:rPr>
        <w:t xml:space="preserve">Case Studies</w:t>
      </w:r>
      <w:r>
        <w:rPr>
          <w:rFonts w:ascii="Arial" w:cs="Arial" w:eastAsia="Arial" w:hAnsi="Arial"/>
          <w:color w:val="5A6E82"/>
          <w:sz w:val="18"/>
          <w:szCs w:val="18"/>
        </w:rPr>
        <w:t xml:space="preserve"> &gt; </w:t>
      </w:r>
      <w:r>
        <w:rPr>
          <w:rFonts w:ascii="Arial" w:cs="Arial" w:eastAsia="Arial" w:hAnsi="Arial"/>
          <w:b/>
          <w:bCs/>
          <w:color w:val="1A2332"/>
          <w:sz w:val="18"/>
          <w:szCs w:val="18"/>
        </w:rPr>
        <w:t xml:space="preserve">InsurTech UK Legal Expenses Insurance Claims Platform</w:t>
      </w:r>
    </w:p>
    <w:p>
      <w:pPr>
        <w:spacing w:after="60" w:before="60"/>
      </w:pPr>
    </w:p>
    <w:p>
      <w:pPr>
        <w:pStyle w:val="Heading1"/>
        <w:spacing w:after="160" w:before="360"/>
      </w:pPr>
      <w:r>
        <w:rPr>
          <w:rFonts w:ascii="Arial" w:cs="Arial" w:eastAsia="Arial" w:hAnsi="Arial"/>
          <w:b/>
          <w:bCs/>
          <w:color w:val="0B1F3A"/>
          <w:sz w:val="40"/>
          <w:szCs w:val="40"/>
        </w:rPr>
        <w:t xml:space="preserve">InsurTech UK Legal Expenses Insurance Claims Platform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InsurTech / Legal Expenses Insurance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On Time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color w:val="0B1F3A"/>
                <w:sz w:val="20"/>
                <w:szCs w:val="20"/>
              </w:rPr>
              <w:t xml:space="preserve">Sector: InsurTech / Legal Expenses Insurance | Tech: React, Node.js/Fastify, PostgreSQL, SRA API, LAA CCMS API, GOV.UK Notify, AWS eu-west-2 | Compliance: FCA ICOBS, FCA Consumer Duty (PS22/9), SRA Code of Conduct, ABI LEI Code of Practice, LAA CCMS, UK GDPR, WCAG 2.1 AA, Cyber Essentials Plus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Challenge</w:t>
            </w:r>
          </w:p>
        </w:tc>
      </w:tr>
    </w:tbl>
    <w:p>
      <w:pPr>
        <w:spacing w:after="60" w:before="60"/>
      </w:pPr>
    </w:p>
    <w:p>
      <w:pPr>
        <w:spacing w:after="160" w:before="100"/>
      </w:pPr>
      <w:r>
        <w:rPr>
          <w:rFonts w:ascii="Arial" w:cs="Arial" w:eastAsia="Arial" w:hAnsi="Arial"/>
          <w:b w:val="false"/>
          <w:bCs w:val="false"/>
          <w:color w:val="1A2332"/>
          <w:sz w:val="22"/>
          <w:szCs w:val="22"/>
        </w:rPr>
        <w:t xml:space="preserve">A UK FCA-authorised Legal Expenses Insurance (LEI) provider (280,000 policies, GBP42M gross written premium) needed to modernise their claims management platform -- replacing a legacy Guidewire ClaimCenter on-premises system. FCA ICOBS (insurance conduct of business), FCA Consumer Duty PS22/9, Solicitors Regulation Authority (SRA -- law firm panel management), Legal Aid Agency (LAA -- public funding certificates), ABI Code of Practice for Legal Expenses Insurance, UK GDPR, WCAG 2.1 AA. Budget GBP130,000.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Approach</w:t>
            </w:r>
          </w:p>
        </w:tc>
      </w:tr>
    </w:tbl>
    <w:p>
      <w:pPr>
        <w:spacing w:after="60" w:before="60"/>
      </w:pPr>
    </w:p>
    <w:p>
      <w:pPr>
        <w:spacing w:after="160" w:before="100"/>
      </w:pPr>
      <w:r>
        <w:rPr>
          <w:rFonts w:ascii="Arial" w:cs="Arial" w:eastAsia="Arial" w:hAnsi="Arial"/>
          <w:b/>
          <w:bCs/>
          <w:color w:val="E8612A"/>
          <w:sz w:val="22"/>
          <w:szCs w:val="22"/>
        </w:rPr>
        <w:t xml:space="preserve">LEI Claims Workflow Digitisation: </w:t>
      </w:r>
      <w:r>
        <w:rPr>
          <w:rFonts w:ascii="Arial" w:cs="Arial" w:eastAsia="Arial" w:hAnsi="Arial"/>
          <w:b w:val="false"/>
          <w:bCs w:val="false"/>
          <w:color w:val="1A2332"/>
          <w:sz w:val="22"/>
          <w:szCs w:val="22"/>
        </w:rPr>
        <w:t xml:space="preserve">LEI claims workflow: (1) notification (customer notifies insurer of legal dispute -- employment, property, motor, personal injury), (2) merits assessment (solicitor panel assesses prospects of success -- ABI Code requires honest assessment, not just commercial decision), (3) panel solicitor appointment (insurer appoints panel solicitor or customer chooses nominated solicitor -- FCA ICOBS 7.4), (4) funding (insurer funds legal costs up to policy limit -- hourly rate schedule with panel solicitors), (5) outcome (settlement, court judgment, withdrawal -- costs assessed and closed). FCA Consumer Duty: LEI claims must be handled fairly -- ABI Code merits assessment threshold (reasonable prospects of success -- not a hard commercial decision).</w:t>
      </w:r>
    </w:p>
    <w:p>
      <w:pPr>
        <w:spacing w:after="160" w:before="100"/>
      </w:pPr>
      <w:r>
        <w:rPr>
          <w:rFonts w:ascii="Arial" w:cs="Arial" w:eastAsia="Arial" w:hAnsi="Arial"/>
          <w:b/>
          <w:bCs/>
          <w:color w:val="E8612A"/>
          <w:sz w:val="22"/>
          <w:szCs w:val="22"/>
        </w:rPr>
        <w:t xml:space="preserve">SRA Panel Solicitor Management: </w:t>
      </w:r>
      <w:r>
        <w:rPr>
          <w:rFonts w:ascii="Arial" w:cs="Arial" w:eastAsia="Arial" w:hAnsi="Arial"/>
          <w:b w:val="false"/>
          <w:bCs w:val="false"/>
          <w:color w:val="1A2332"/>
          <w:sz w:val="22"/>
          <w:szCs w:val="22"/>
        </w:rPr>
        <w:t xml:space="preserve">SRA panel management for LEI: (1) panel solicitor onboarding (SRA registration verification via SRA API, conflict check, capacity management), (2) case allocation (automated allocation based on case type, geographic location, solicitor capacity and specialism), (3) hourly rate schedule (LEI panel rates typically 70-85% of SRA guideline rates -- automated rate calculation per solicitor grade), (4) invoice validation (solicitor submits claim -- automated validation against panel rate schedule and court costs scale), (5) SRA monitoring (annual panel review -- SRA disciplinary history checked via SRA API). FCA ICOBS 7.4: customer right to choose nominated solicitor in certain circumstances -- workflow handles nominated solicitor outside panel.</w:t>
      </w:r>
    </w:p>
    <w:p>
      <w:pPr>
        <w:spacing w:after="160" w:before="100"/>
      </w:pPr>
      <w:r>
        <w:rPr>
          <w:rFonts w:ascii="Arial" w:cs="Arial" w:eastAsia="Arial" w:hAnsi="Arial"/>
          <w:b/>
          <w:bCs/>
          <w:color w:val="E8612A"/>
          <w:sz w:val="22"/>
          <w:szCs w:val="22"/>
        </w:rPr>
        <w:t xml:space="preserve">LAA Public Funding Integration: </w:t>
      </w:r>
      <w:r>
        <w:rPr>
          <w:rFonts w:ascii="Arial" w:cs="Arial" w:eastAsia="Arial" w:hAnsi="Arial"/>
          <w:b w:val="false"/>
          <w:bCs w:val="false"/>
          <w:color w:val="1A2332"/>
          <w:sz w:val="22"/>
          <w:szCs w:val="22"/>
        </w:rPr>
        <w:t xml:space="preserve">LAA (Legal Aid Agency) for cases with public funding crossover: (1) means test (customer eligible for Legal Aid -- LEI as top-up funder, LAA as primary), (2) LAA certificate check (verify LAA certificate scope matches LEI policy cover), (3) cost sharing (LAA and LEI split costs in complex cases), (4) LAA billing (LAA bills separately from panel solicitor -- integration with LAA CCMS), (5) CLS Direct (now LASPO -- Legal Aid, Sentencing and Punishment of Offenders Act 2012 -- scope of Legal Aid reduced). LAA CCMS (Client and Cost Management System) API integration: automated certificate queries and cost submissions.</w:t>
      </w:r>
    </w:p>
    <w:p>
      <w:pPr>
        <w:spacing w:after="160" w:before="100"/>
      </w:pPr>
      <w:r>
        <w:rPr>
          <w:rFonts w:ascii="Arial" w:cs="Arial" w:eastAsia="Arial" w:hAnsi="Arial"/>
          <w:b/>
          <w:bCs/>
          <w:color w:val="E8612A"/>
          <w:sz w:val="22"/>
          <w:szCs w:val="22"/>
        </w:rPr>
        <w:t xml:space="preserve">FCA Consumer Duty Claims Design: </w:t>
      </w:r>
      <w:r>
        <w:rPr>
          <w:rFonts w:ascii="Arial" w:cs="Arial" w:eastAsia="Arial" w:hAnsi="Arial"/>
          <w:b w:val="false"/>
          <w:bCs w:val="false"/>
          <w:color w:val="1A2332"/>
          <w:sz w:val="22"/>
          <w:szCs w:val="22"/>
        </w:rPr>
        <w:t xml:space="preserve">Consumer Duty for LEI claims: (1) product design (LEI product terms must be clear -- policy wording uses Plain English, Grade 8 or below Flesch-Kincaid), (2) merits communication (customer told outcome of merits assessment in plain English with appeal right), (3) appointed solicitor communication (customer knows who their solicitor is, how to contact them), (4) progress updates (automated case progress notifications via GOV.UK Notify or email -- no waiting in the dark), (5) complaints (FCA DISP -- LEI complaints within 8 weeks, clear FOS signposting). ABI Code compliance: merits refusals must have independent review mechanism -- ClickMasters builds automated independent review request workflow.</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Result</w:t>
            </w:r>
          </w:p>
        </w:tc>
      </w:tr>
    </w:tbl>
    <w:p>
      <w:pPr>
        <w:spacing w:after="60" w:before="60"/>
      </w:pPr>
    </w:p>
    <w:p>
      <w:pPr>
        <w:spacing w:after="160" w:before="100"/>
      </w:pPr>
      <w:r>
        <w:rPr>
          <w:rFonts w:ascii="Arial" w:cs="Arial" w:eastAsia="Arial" w:hAnsi="Arial"/>
          <w:b w:val="false"/>
          <w:bCs w:val="false"/>
          <w:color w:val="1A2332"/>
          <w:sz w:val="22"/>
          <w:szCs w:val="22"/>
        </w:rPr>
        <w:t xml:space="preserve">FCA ICOBS and Consumer Duty confirmed. Platform live at 22 weeks, GBP122,000. 280,000 policies. Claims handled: 8,400/year. Average claims cycle: 84 to 42 days. Merits assessment: 100% digital (was 100% phone). Panel solicitor invoice validation: 94.2% automated. WCAG 2.1 AA confirmed. SRA panel monitoring: 100% automated annual check.</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DDA" w:sz="1"/>
              <w:left w:val="single" w:color="D4EDDA" w:sz="1"/>
              <w:bottom w:val="single" w:color="D4EDDA" w:sz="1"/>
              <w:right w:val="single" w:color="D4EDDA" w:sz="1"/>
            </w:tcBorders>
            <w:shd w:fill="D4EDDA" w:val="clear"/>
            <w:tcMar>
              <w:top w:type="dxa" w:w="160"/>
              <w:left w:type="dxa" w:w="200"/>
              <w:bottom w:type="dxa" w:w="160"/>
              <w:right w:type="dxa" w:w="200"/>
            </w:tcMar>
          </w:tcPr>
          <w:p>
            <w:pPr>
              <w:spacing w:after="0" w:before="0"/>
            </w:pPr>
            <w:r>
              <w:rPr>
                <w:rFonts w:ascii="Arial" w:cs="Arial" w:eastAsia="Arial" w:hAnsi="Arial"/>
                <w:b w:val="false"/>
                <w:bCs w:val="false"/>
                <w:color w:val="0B1F3A"/>
                <w:sz w:val="22"/>
                <w:szCs w:val="22"/>
              </w:rPr>
              <w:t xml:space="preserve">Claims cycle 84 to 42 days. Merits assessment 100% digital. Invoice validation 94.2% automated. SRA monitoring 100%. WCAG confirmed. The 42-day cycle reduction -- 50% faster -- came from removing the phone-tag between customers, solicitors, and claims handlers. Every interaction was previously by phone or letter. Now it is digital and asynchronous. Legal disputes are stressful. Customers do not need to add the stress of not knowing what is happening to their claim. -- CEO, UK Legal Expenses Insurer</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Category</w:t>
            </w:r>
          </w:p>
        </w:tc>
        <w:tc>
          <w:tcPr>
            <w:tcW w:type="dxa" w:w="6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Details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Technologies</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React, Node.js/Fastify, PostgreSQL, SRA API, LAA CCMS API, GOV.UK Notify, AWS eu-west-2</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Compliance</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FCA ICOBS, FCA Consumer Duty (PS22/9), SRA Code of Conduct, ABI LEI Code of Practice, LAA CCMS, UK GDPR, WCAG 2.1 AA, Cyber Essentials Plus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Contract</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Fixed-price Agile</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 transferred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Custom Software UK: /custom-software-development/</w:t>
      </w:r>
    </w:p>
    <w:p>
      <w:pPr>
        <w:pStyle w:val="ListParagraph"/>
        <w:numPr>
          <w:ilvl w:val="0"/>
          <w:numId w:val="2"/>
        </w:numPr>
        <w:spacing w:after="60" w:before="60"/>
      </w:pPr>
      <w:r>
        <w:rPr>
          <w:rFonts w:ascii="Arial" w:cs="Arial" w:eastAsia="Arial" w:hAnsi="Arial"/>
          <w:color w:val="1A4A8A"/>
          <w:sz w:val="22"/>
          <w:szCs w:val="22"/>
        </w:rPr>
        <w:t xml:space="preserve">Case Studies: /case-studies/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Something Similar</w:t>
            </w:r>
          </w:p>
          <w:p>
            <w:pPr>
              <w:spacing w:after="160" w:before="0"/>
            </w:pPr>
            <w:r>
              <w:rPr>
                <w:rFonts w:ascii="Arial" w:cs="Arial" w:eastAsia="Arial" w:hAnsi="Arial"/>
                <w:color w:val="BDD0E8"/>
                <w:sz w:val="22"/>
                <w:szCs w:val="22"/>
              </w:rPr>
              <w:t xml:space="preserve">Book a free consultation.</w:t>
            </w:r>
          </w:p>
          <w:p>
            <w:pPr>
              <w:spacing w:after="0" w:before="0"/>
            </w:pPr>
            <w:r>
              <w:rPr>
                <w:rFonts w:ascii="Arial" w:cs="Arial" w:eastAsia="Arial" w:hAnsi="Arial"/>
                <w:b/>
                <w:bCs/>
                <w:color w:val="E8612A"/>
                <w:sz w:val="22"/>
                <w:szCs w:val="22"/>
              </w:rPr>
              <w:t xml:space="preserve">-&gt;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Article | legal expenses insurance claims platform uk fca, lei claims management saas uk, insurtech legal expenses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2026-06-08T11:07:31.384Z</dcterms:created>
  <dcterms:modified xsi:type="dcterms:W3CDTF">2026-06-08T11:07:31.384Z</dcterms:modified>
</cp:coreProperties>
</file>

<file path=docProps/custom.xml><?xml version="1.0" encoding="utf-8"?>
<Properties xmlns="http://schemas.openxmlformats.org/officeDocument/2006/custom-properties" xmlns:vt="http://schemas.openxmlformats.org/officeDocument/2006/docPropsVTypes"/>
</file>