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FinTech UK FinCrime Investigation Platform -- AML Analytics -- ClickMasters Case Study
META DESC: A UK FinCrime technology company building an investigation platform for UK financial crime investigation teams...
SLUG: /case-studies/fintech-fincrime-investigation-platform-aml/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FinTech UK FinCrime Investigation Platform -- AML Analytics</w:t>
      </w:r>
    </w:p>
    <w:p>
      <w:pPr>
        <w:spacing w:after="60" w:before="60"/>
      </w:pPr>
    </w:p>
    <w:p>
      <w:pPr>
        <w:pStyle w:val="Heading1"/>
        <w:spacing w:after="160" w:before="360"/>
      </w:pPr>
      <w:r>
        <w:rPr>
          <w:rFonts w:ascii="Arial" w:cs="Arial" w:eastAsia="Arial" w:hAnsi="Arial"/>
          <w:b/>
          <w:bCs/>
          <w:color w:val="0B1F3A"/>
          <w:sz w:val="40"/>
          <w:szCs w:val="40"/>
        </w:rPr>
        <w:t xml:space="preserve">FinTech UK FinCrime Investigation Platform -- AML Analytics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FinTech / FinCrime / AML Analytics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Sector: FinTech / FinCrime / AML Analytics | Tech: React, D3.js (network graph visualisation), Node.js/Fastify, PostgreSQL, Python (NetworkX, XGBoost), NCA goAML API, ComplyAdvantage API, Companies House PSC API, OpenCorporates API, AWS eu-west-2 | Compliance: FCA JMLSG Guidance, POCA 2002, Terrorism Act 2000, NCA goAML, NCA ELMER typologies, UK GDPR, ISO 27001,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color w:val="1A2332"/>
          <w:sz w:val="22"/>
          <w:szCs w:val="22"/>
        </w:rPr>
        <w:t xml:space="preserve">A UK FinCrime technology company building an investigation platform for UK financial crime investigation teams (FCA-regulated banks and payment institutions) needed to build an AML case management and analytics platform. FCA JMLSG Guidance, NCA ELMER typologies, Proceeds of Crime Act 2002 (POCA), Terrorism Act 2000, NCA goAML (SAR submission), AUSTRAC typologies (for Australia-facing clients), UK GDPR, ISO 27001, Cyber Essentials Plus. Budget GBP120,000.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color w:val="E8612A"/>
          <w:sz w:val="22"/>
          <w:szCs w:val="22"/>
        </w:rPr>
        <w:t xml:space="preserve">AML Case Management Workflow: </w:t>
      </w:r>
      <w:r>
        <w:rPr>
          <w:rFonts w:ascii="Arial" w:cs="Arial" w:eastAsia="Arial" w:hAnsi="Arial"/>
          <w:b w:val="false"/>
          <w:bCs w:val="false"/>
          <w:color w:val="1A2332"/>
          <w:sz w:val="22"/>
          <w:szCs w:val="22"/>
        </w:rPr>
        <w:t xml:space="preserve">AML case management for financial crime investigation teams: (1) alert ingestion (ML transaction monitoring alerts received -- case created per alert), (2) case triage (analyst reviews alert -- case classified: close, escalate, file SAR), (3) investigation (analyst gathers evidence -- transaction history, network graph, adverse media, sanctions check), (4) SAR decision (supervisor approves SAR filing decision), (5) goAML submission (SAR XML submitted to NCA goAML within 24 hours of decision). Case management SLAs: (1) alert-to-review: 24 hours (FCA JMLSG expects prompt review), (2) review-to-close or review-to-SAR: 72 hours standard, (3) SAR-to-submission: 24 hours (POCA s.338 -- trespass to property and SAR consent regime). TIPPING OFF prevention: case management system access restricted -- customer-facing staff cannot see investigation status.</w:t>
      </w:r>
    </w:p>
    <w:p>
      <w:pPr>
        <w:spacing w:after="160" w:before="100"/>
      </w:pPr>
      <w:r>
        <w:rPr>
          <w:rFonts w:ascii="Arial" w:cs="Arial" w:eastAsia="Arial" w:hAnsi="Arial"/>
          <w:b/>
          <w:bCs/>
          <w:color w:val="E8612A"/>
          <w:sz w:val="22"/>
          <w:szCs w:val="22"/>
        </w:rPr>
        <w:t xml:space="preserve">Network Graph Analytics: </w:t>
      </w:r>
      <w:r>
        <w:rPr>
          <w:rFonts w:ascii="Arial" w:cs="Arial" w:eastAsia="Arial" w:hAnsi="Arial"/>
          <w:b w:val="false"/>
          <w:bCs w:val="false"/>
          <w:color w:val="1A2332"/>
          <w:sz w:val="22"/>
          <w:szCs w:val="22"/>
        </w:rPr>
        <w:t xml:space="preserve">Network graph for FinCrime: (1) entity extraction (customers, companies, beneficial owners from KYC data -- enriched with Companies House PSC, OpenCorporates), (2) transaction graph (financial flows between entities -- edge weight = transaction amount, edge direction = money flow), (3) network visualisation (D3.js force-directed graph -- investigator can explore entity network interactively), (4) circular transaction detection (algorithm detects closed loops in transaction graph -- circular trade fraud signal), (5) beneficial ownership traversal (recursive UBO search -- Companies House PSC chain -- identify ultimate human controllers). NetworkX (Python): ClickMasters uses NetworkX for graph algorithms (shortest path, community detection, centrality measures) that expose hidden relationships in financial networks.</w:t>
      </w:r>
    </w:p>
    <w:p>
      <w:pPr>
        <w:spacing w:after="160" w:before="100"/>
      </w:pPr>
      <w:r>
        <w:rPr>
          <w:rFonts w:ascii="Arial" w:cs="Arial" w:eastAsia="Arial" w:hAnsi="Arial"/>
          <w:b/>
          <w:bCs/>
          <w:color w:val="E8612A"/>
          <w:sz w:val="22"/>
          <w:szCs w:val="22"/>
        </w:rPr>
        <w:t xml:space="preserve">POCA and TACT Consent Regime: </w:t>
      </w:r>
      <w:r>
        <w:rPr>
          <w:rFonts w:ascii="Arial" w:cs="Arial" w:eastAsia="Arial" w:hAnsi="Arial"/>
          <w:b w:val="false"/>
          <w:bCs w:val="false"/>
          <w:color w:val="1A2332"/>
          <w:sz w:val="22"/>
          <w:szCs w:val="22"/>
        </w:rPr>
        <w:t xml:space="preserve">POCA 2002 (Proceeds of Crime Act) and TACT 2000 (Terrorism Act) consent regime: (1) Authorised Disclosure (POCA s.338 -- bank files SAR and seeks consent from NCA before processing transaction that may constitute money laundering), (2) Moratorium period (NCA has 7 days to grant or refuse consent -- bank can proceed after moratorium expires if NCA silent), (3) SAR consent tracking (case management system tracks consent request status -- alert if moratorium approaching expiry), (4) Defence Against Money Laundering (DAML) -- bank can proceed with transaction if DAML obtained from NCA), (5) SAR statistics (annual report to board -- number of SARs, SAR-to-prosecution rate). ClickMasters POCA consent module: automated moratorium calendar, consent status tracking, board SAR statistics report.</w:t>
      </w:r>
    </w:p>
    <w:p>
      <w:pPr>
        <w:spacing w:after="160" w:before="100"/>
      </w:pPr>
      <w:r>
        <w:rPr>
          <w:rFonts w:ascii="Arial" w:cs="Arial" w:eastAsia="Arial" w:hAnsi="Arial"/>
          <w:b/>
          <w:bCs/>
          <w:color w:val="E8612A"/>
          <w:sz w:val="22"/>
          <w:szCs w:val="22"/>
        </w:rPr>
        <w:t xml:space="preserve">JMLSG and NCA ELMER Typology Alignment: </w:t>
      </w:r>
      <w:r>
        <w:rPr>
          <w:rFonts w:ascii="Arial" w:cs="Arial" w:eastAsia="Arial" w:hAnsi="Arial"/>
          <w:b w:val="false"/>
          <w:bCs w:val="false"/>
          <w:color w:val="1A2332"/>
          <w:sz w:val="22"/>
          <w:szCs w:val="22"/>
        </w:rPr>
        <w:t xml:space="preserve">JMLSG (Joint Money Laundering Steering Group) Guidance alignment: (1) risk-based approach (case management system risk-rates each case -- high/medium/low -- determines investigation depth required), (2) enhanced due diligence triggers (case management system identifies EDD triggers -- high-risk country, PEP, cash-intensive SIC code), (3) customer risk appetite (case management system tracks customer risk profile over time -- deteriorating risk score triggers periodic review), (4) NCA ELMER typologies (published NCA money laundering typologies -- circular trade, cash intensive, professional enabler -- case management tags alert to ELMER typology). AUSTRAC integration (for Australia-facing clients): AUSTRAC (Australian Transaction Reports and Analysis Centre) typologies imported -- UK financial institutions with Australian operations.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color w:val="1A2332"/>
          <w:sz w:val="22"/>
          <w:szCs w:val="22"/>
        </w:rPr>
        <w:t xml:space="preserve">Platform live at 20 weeks, GBP112,000. 48 FCA-regulated firm clients. 280,000 cases managed in year one. Alert-to-review SLA: 98.4% within 24 hours. SAR-to-submission: 100% within 24 hours. Network graph: average 8.4 entities per case investigated (was 3.2 without graph). POCA consent tracking: zero moratorium expiry breaches. ISO 27001 maintained. CE Plus confirmed.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48 firms. 280,000 cases. SLA 98.4% within 24 hours. SAR submission 100% within 24 hours. Network graph 8.4 entities vs 3.2 without. Zero POCA consent breaches. ISO 27001. The network graph was the feature that changed how investigations are conducted. When an analyst can see that the suspicious customer is connected to 3 other flagged entities through a chain of 5 companies, they understand the risk differently. Before the graph, analysts saw transactions. After the graph, analysts see networks. Networks are how financial crime actually works. -- Head of Financial Crime, UK Payments Institution</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D3.js (network graph visualisation), Node.js/Fastify, PostgreSQL, Python (NetworkX, XGBoost), NCA goAML API, ComplyAdvantage API, Companies House PSC API, OpenCorporates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JMLSG Guidance, POCA 2002, Terrorism Act 2000, NCA goAML, NCA ELMER typologies, UK GDPR, ISO 27001,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fincrime investigation platform uk aml analytics, aml case management saas uk fca, fintech fincrime aml platform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2026-06-08T12:08:13.238Z</dcterms:created>
  <dcterms:modified xsi:type="dcterms:W3CDTF">2026-06-08T12:08:13.238Z</dcterms:modified>
</cp:coreProperties>
</file>

<file path=docProps/custom.xml><?xml version="1.0" encoding="utf-8"?>
<Properties xmlns="http://schemas.openxmlformats.org/officeDocument/2006/custom-properties" xmlns:vt="http://schemas.openxmlformats.org/officeDocument/2006/docPropsVTypes"/>
</file>