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GovTech API Integration — HMRC Making Tax Digital for Accountancy SaaS — ClickMasters Case Study
META DESC: A UK accountancy software startup needed to integrate with HMRC Making Tax Digital (MTD) for VAT as a software...
SLUG: /case-studies/govtech-hmrc-mtd-accountancy-saas/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GovTech API Integration — HMRC Making Tax Digital for Accountancy SaaS</w:t>
      </w:r>
    </w:p>
    <w:p>
      <w:pPr>
        <w:spacing w:after="60" w:before="60"/>
      </w:pPr>
    </w:p>
    <w:p>
      <w:pPr>
        <w:pStyle w:val="Heading1"/>
        <w:spacing w:after="160" w:before="360"/>
      </w:pPr>
      <w:r>
        <w:rPr>
          <w:rFonts w:ascii="Arial" w:cs="Arial" w:eastAsia="Arial" w:hAnsi="Arial"/>
          <w:b/>
          <w:bCs/>
          <w:color w:val="0B1F3A"/>
          <w:sz w:val="40"/>
          <w:szCs w:val="40"/>
        </w:rPr>
        <w:t xml:space="preserve">GovTech API Integration — HMRC Making Tax Digital for Accountancy SaaS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GovTech / AccountingTech</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Delivered 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Sector: GovTech / AccountingTech | Tech: Node.js/Fastify, TypeScript, HMRC MTD API (OAuth 2.0 + JSON), PostgreSQL, Next.js, AWS eu-west-2 | Compliance: HMRC MTD (VAT and ITSA), UK GDPR (financial data), ICO registration, Making Tax Digital regulations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 UK accountancy software startup needed to integrate with HMRC Making Tax Digital (MTD) for VAT as a software provider — enabling their accountancy SaaS customers to submit VAT returns digitally to HMRC. The integration required OAuth 2.0 authorisation (HMRC's agent authorisation flow is complex), JSON VAT return submission, obligation retrieval, and payment information display. Additionally, the company needed to prepare for MTD for Income Tax (from April 2026) for their self-employed clients. Budget: £65,000.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i w:val="false"/>
          <w:iCs w:val="false"/>
          <w:color w:val="E8612A"/>
          <w:sz w:val="22"/>
          <w:szCs w:val="22"/>
        </w:rPr>
        <w:t xml:space="preserve">HMRC OAuth 2.0 Agent Authorisation: </w:t>
      </w:r>
      <w:r>
        <w:rPr>
          <w:rFonts w:ascii="Arial" w:cs="Arial" w:eastAsia="Arial" w:hAnsi="Arial"/>
          <w:b w:val="false"/>
          <w:bCs w:val="false"/>
          <w:i w:val="false"/>
          <w:iCs w:val="false"/>
          <w:color w:val="1A2332"/>
          <w:sz w:val="22"/>
          <w:szCs w:val="22"/>
        </w:rPr>
        <w:t xml:space="preserve">HMRC MTD uses a three-way OAuth 2.0 flow: the accountant (agent) authorises on behalf of their client (principal). ClickMasters implemented the Agent Authorisation API, Authorisation Code flow with PKCE, token refresh, and the HMRC sandbox environment for development and testing. Agent-client relationships persisted in PostgreSQL with full audit logging.</w:t>
      </w:r>
    </w:p>
    <w:p>
      <w:pPr>
        <w:spacing w:after="160" w:before="100"/>
      </w:pPr>
      <w:r>
        <w:rPr>
          <w:rFonts w:ascii="Arial" w:cs="Arial" w:eastAsia="Arial" w:hAnsi="Arial"/>
          <w:b/>
          <w:bCs/>
          <w:i w:val="false"/>
          <w:iCs w:val="false"/>
          <w:color w:val="E8612A"/>
          <w:sz w:val="22"/>
          <w:szCs w:val="22"/>
        </w:rPr>
        <w:t xml:space="preserve">MTD VAT Submission Flow: </w:t>
      </w:r>
      <w:r>
        <w:rPr>
          <w:rFonts w:ascii="Arial" w:cs="Arial" w:eastAsia="Arial" w:hAnsi="Arial"/>
          <w:b w:val="false"/>
          <w:bCs w:val="false"/>
          <w:i w:val="false"/>
          <w:iCs w:val="false"/>
          <w:color w:val="1A2332"/>
          <w:sz w:val="22"/>
          <w:szCs w:val="22"/>
        </w:rPr>
        <w:t xml:space="preserve">Obligation retrieval (HMRC API returns VAT return periods), VAT return calculation (pulling from client bookkeeping data), 9-box VAT return JSON construction (per HMRC schema), submission with fraud prevention headers (mandatory IP address, device ID, username headers — non-negotiable for HMRC), and confirmation receipt storage.</w:t>
      </w:r>
    </w:p>
    <w:p>
      <w:pPr>
        <w:spacing w:after="160" w:before="100"/>
      </w:pPr>
      <w:r>
        <w:rPr>
          <w:rFonts w:ascii="Arial" w:cs="Arial" w:eastAsia="Arial" w:hAnsi="Arial"/>
          <w:b/>
          <w:bCs/>
          <w:i w:val="false"/>
          <w:iCs w:val="false"/>
          <w:color w:val="E8612A"/>
          <w:sz w:val="22"/>
          <w:szCs w:val="22"/>
        </w:rPr>
        <w:t xml:space="preserve">HMRC Fraud Prevention Headers: </w:t>
      </w:r>
      <w:r>
        <w:rPr>
          <w:rFonts w:ascii="Arial" w:cs="Arial" w:eastAsia="Arial" w:hAnsi="Arial"/>
          <w:b w:val="false"/>
          <w:bCs w:val="false"/>
          <w:i w:val="false"/>
          <w:iCs w:val="false"/>
          <w:color w:val="1A2332"/>
          <w:sz w:val="22"/>
          <w:szCs w:val="22"/>
        </w:rPr>
        <w:t xml:space="preserve">HMRC mandates fraud prevention headers on all MTD API calls — including user IP address, browser fingerprint, and device identification. ClickMasters implemented these headers correctly with client-side collection (JavaScript) and server-side forwarding. Common compliance failure: missing or malformed fraud prevention headers cause HMRC to reject API calls.</w:t>
      </w:r>
    </w:p>
    <w:p>
      <w:pPr>
        <w:spacing w:after="160" w:before="100"/>
      </w:pPr>
      <w:r>
        <w:rPr>
          <w:rFonts w:ascii="Arial" w:cs="Arial" w:eastAsia="Arial" w:hAnsi="Arial"/>
          <w:b/>
          <w:bCs/>
          <w:i w:val="false"/>
          <w:iCs w:val="false"/>
          <w:color w:val="E8612A"/>
          <w:sz w:val="22"/>
          <w:szCs w:val="22"/>
        </w:rPr>
        <w:t xml:space="preserve">MTD ITSA Preparation: </w:t>
      </w:r>
      <w:r>
        <w:rPr>
          <w:rFonts w:ascii="Arial" w:cs="Arial" w:eastAsia="Arial" w:hAnsi="Arial"/>
          <w:b w:val="false"/>
          <w:bCs w:val="false"/>
          <w:i w:val="false"/>
          <w:iCs w:val="false"/>
          <w:color w:val="1A2332"/>
          <w:sz w:val="22"/>
          <w:szCs w:val="22"/>
        </w:rPr>
        <w:t xml:space="preserve">Pre-built the MTD Income Tax Self Assessment (ITSA) integration structure (from April 2026 mandatory date) — quarterly submission endpoints, digital record-keeping requirements, and the expanded self-employment income categories. Building this concurrently with VAT integration reduced future development cost.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MTD VAT integration live at 10 weeks, £58,000 — under budget. HMRC sandbox testing: 100% pass rate on submission validation. Live with 12 accountancy clients submitting VAT returns on day one. Zero HMRC rejection rate in first 3 months. MTD ITSA preparation: client positioned 18 months ahead of mandatory deadline. SaaS plan: launched MTD submission as premium tier feature at £35/client/month additional, generating £5,040 MRR from existing clients on day one.</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iCs/>
                <w:color w:val="0B1F3A"/>
                <w:sz w:val="22"/>
                <w:szCs w:val="22"/>
              </w:rPr>
              <w:t xml:space="preserve">"The HMRC fraud prevention headers were the technical challenge that had beaten two previous developers. ClickMasters understood the HMRC API documentation and got it right first time. The MTD ITSA preparation gives us a huge competitive advantage — we're ready 18 months before our competitors." — CTO, UK AccountingTech SaaS (name withheld)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Node.js/Fastify, TypeScript, HMRC MTD API (OAuth 2.0 + JSON), PostgreSQL, Next.js,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HMRC MTD (VAT and ITSA), UK GDPR (financial data), ICO registration, Making Tax Digital regulations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 to client</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hmrc making tax digital integration uk, govtech software development uk, accounting saas development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2026-05-23T06:51:32.663Z</dcterms:created>
  <dcterms:modified xsi:type="dcterms:W3CDTF">2026-05-23T06:51:32.663Z</dcterms:modified>
</cp:coreProperties>
</file>

<file path=docProps/custom.xml><?xml version="1.0" encoding="utf-8"?>
<Properties xmlns="http://schemas.openxmlformats.org/officeDocument/2006/custom-properties" xmlns:vt="http://schemas.openxmlformats.org/officeDocument/2006/docPropsVTypes"/>
</file>