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Open Banking Cash Management Platform — UK SME Lender | ClickMasters Case Study
META DESC: Open Banking AISP platform for UK SME lender. FCA COBS, PSD2, UK GDPR. £42M lending decisions improved. Case study.
SLUG: /case-studies/open-banking-cash-management-sme-lender/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Open Banking Cash Management — UK SME Lender</w:t>
      </w:r>
    </w:p>
    <w:p>
      <w:pPr>
        <w:spacing w:after="60" w:before="60"/>
      </w:pPr>
    </w:p>
    <w:p>
      <w:pPr>
        <w:pStyle w:val="Heading1"/>
        <w:spacing w:after="160" w:before="360"/>
      </w:pPr>
      <w:r>
        <w:rPr>
          <w:rFonts w:ascii="Arial" w:cs="Arial" w:eastAsia="Arial" w:hAnsi="Arial"/>
          <w:b/>
          <w:bCs/>
          <w:color w:val="0B1F3A"/>
          <w:sz w:val="40"/>
          <w:szCs w:val="40"/>
        </w:rPr>
        <w:t xml:space="preserve">Open Banking Cash Management Platform — UK SME Lender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LendTech</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SME Lending | Tech: Node.js, TrueLayer, PostgreSQL | Compliance: FCA COBS, PSD2, UK GDPR, JMLSG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FCA-authorised SME lender originating £42M in SME loans per year was making credit decisions based on 3-month bank statements supplied by applicants as PDF uploads — subject to document fraud (Statement Doctor-type PDF manipulation), delays (waiting for bank statements), and limited visibility of actual cash flow patterns. FCA COBS required fair treatment of SME applicants; the PDF-based process was systematically disadvantaging SMEs with strong actual cash flows but irregular statement presentation. Budget: £90,000.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Open Banking AISP Integration: </w:t>
      </w:r>
      <w:r>
        <w:rPr>
          <w:rFonts w:ascii="Arial" w:cs="Arial" w:eastAsia="Arial" w:hAnsi="Arial"/>
          <w:b w:val="false"/>
          <w:bCs w:val="false"/>
          <w:i w:val="false"/>
          <w:iCs w:val="false"/>
          <w:color w:val="1A2332"/>
          <w:sz w:val="22"/>
          <w:szCs w:val="22"/>
        </w:rPr>
        <w:t xml:space="preserve">TrueLayer Account Information Service Provider (AISP) integration. Applicant grants consent to share 12 months of transaction data directly from their business bank (automated, no PDF upload). Supported banks: all major UK business banking providers (Barclays, HSBC, Lloyds, NatWest, Santander, Starling, Monzo Business, Tide). Consent: 90-day PSD2 re-authorisation window, revocable at any time.</w:t>
      </w:r>
    </w:p>
    <w:p>
      <w:pPr>
        <w:spacing w:after="60" w:before="60"/>
      </w:pPr>
    </w:p>
    <w:p>
      <w:pPr>
        <w:spacing w:after="160" w:before="100"/>
      </w:pPr>
      <w:r>
        <w:rPr>
          <w:rFonts w:ascii="Arial" w:cs="Arial" w:eastAsia="Arial" w:hAnsi="Arial"/>
          <w:b/>
          <w:bCs/>
          <w:i w:val="false"/>
          <w:iCs w:val="false"/>
          <w:color w:val="E8612A"/>
          <w:sz w:val="22"/>
          <w:szCs w:val="22"/>
        </w:rPr>
        <w:t xml:space="preserve">Cash Flow Analysis Engine: </w:t>
      </w:r>
      <w:r>
        <w:rPr>
          <w:rFonts w:ascii="Arial" w:cs="Arial" w:eastAsia="Arial" w:hAnsi="Arial"/>
          <w:b w:val="false"/>
          <w:bCs w:val="false"/>
          <w:i w:val="false"/>
          <w:iCs w:val="false"/>
          <w:color w:val="1A2332"/>
          <w:sz w:val="22"/>
          <w:szCs w:val="22"/>
        </w:rPr>
        <w:t xml:space="preserve">Python ML model trained on 18 months of historical application data (approved loans, default outcomes). Features: average monthly revenue, revenue volatility, seasonality index, debtor payment patterns, large one-off transactions (flagged for underwriter review), and payroll regularity (indicator of employment headcount stability). Confidence scores per feature.</w:t>
      </w:r>
    </w:p>
    <w:p>
      <w:pPr>
        <w:spacing w:after="60" w:before="60"/>
      </w:pPr>
    </w:p>
    <w:p>
      <w:pPr>
        <w:spacing w:after="160" w:before="100"/>
      </w:pPr>
      <w:r>
        <w:rPr>
          <w:rFonts w:ascii="Arial" w:cs="Arial" w:eastAsia="Arial" w:hAnsi="Arial"/>
          <w:b/>
          <w:bCs/>
          <w:i w:val="false"/>
          <w:iCs w:val="false"/>
          <w:color w:val="E8612A"/>
          <w:sz w:val="22"/>
          <w:szCs w:val="22"/>
        </w:rPr>
        <w:t xml:space="preserve">FCA COBS Fair Treatment Architecture: </w:t>
      </w:r>
      <w:r>
        <w:rPr>
          <w:rFonts w:ascii="Arial" w:cs="Arial" w:eastAsia="Arial" w:hAnsi="Arial"/>
          <w:b w:val="false"/>
          <w:bCs w:val="false"/>
          <w:i w:val="false"/>
          <w:iCs w:val="false"/>
          <w:color w:val="1A2332"/>
          <w:sz w:val="22"/>
          <w:szCs w:val="22"/>
        </w:rPr>
        <w:t xml:space="preserve">COBS 2.1 (fair, clear, not misleading): cash flow analysis explanation provided to applicants in plain English. COBS 4: information about the credit product clear before application. Consumer Duty: decision audit trail — every lending decision logged with ML features used and underwriter override (if any). Declined applicants receive specific reasons, not generic rejections.</w:t>
      </w:r>
    </w:p>
    <w:p>
      <w:pPr>
        <w:spacing w:after="60" w:before="60"/>
      </w:pPr>
    </w:p>
    <w:p>
      <w:pPr>
        <w:spacing w:after="160" w:before="100"/>
      </w:pPr>
      <w:r>
        <w:rPr>
          <w:rFonts w:ascii="Arial" w:cs="Arial" w:eastAsia="Arial" w:hAnsi="Arial"/>
          <w:b/>
          <w:bCs/>
          <w:i w:val="false"/>
          <w:iCs w:val="false"/>
          <w:color w:val="E8612A"/>
          <w:sz w:val="22"/>
          <w:szCs w:val="22"/>
        </w:rPr>
        <w:t xml:space="preserve">JMLSG AML Integration: </w:t>
      </w:r>
      <w:r>
        <w:rPr>
          <w:rFonts w:ascii="Arial" w:cs="Arial" w:eastAsia="Arial" w:hAnsi="Arial"/>
          <w:b w:val="false"/>
          <w:bCs w:val="false"/>
          <w:i w:val="false"/>
          <w:iCs w:val="false"/>
          <w:color w:val="1A2332"/>
          <w:sz w:val="22"/>
          <w:szCs w:val="22"/>
        </w:rPr>
        <w:t xml:space="preserve">SME lending is subject to MLRs 2017 AML obligations. CDD: automated Companies House verification, director identity check (Onfido), and sanctions screening (Dow Jones). EDD triggers: loans above £25,000, high-risk sectors (cash-intensive businesses), and transaction patterns inconsistent with stated business activity. MLRO escalation workflow.</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12 weeks, £84,000 — under budget. PDF fraud elimination: zero forged bank statements accepted (all data from bank APIs directly). Application completion time: 4.2 days average (from 11.4 days — waiting for PDF statements). SME approval rate: 34% → 47% (Open Banking data revealed stronger cash flows than PDFs showed). Default rate (6-month cohort): 18% reduction versus PDF-based cohort. FCA Consumer Duty audit: decision audit trail praised as example of good practice.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Open Banking integration eliminated statement fraud entirely — you cannot manipulate a TrueLayer API response. The approval rate increase of 13 percentage points is real SMEs getting credit they were being denied unfairly. The FCA Consumer Duty audit found our decision audit trail was the strongest they had seen." — Chief Credit Officer, UK SME Lender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Node.js/Fastify, TrueLayer Open Banking, Python ML, PostgreSQL, Onfido KYC, Dow Jones, Companies House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COBS, FCA Consumer Duty, PSD2/Open Banking, JMLSG AML, UK GDPR, MLRs 2017,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 to client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FinTech Software Development UK: /fintech-software-development/</w:t>
      </w:r>
    </w:p>
    <w:p>
      <w:pPr>
        <w:pStyle w:val="ListParagraph"/>
        <w:numPr>
          <w:ilvl w:val="0"/>
          <w:numId w:val="2"/>
        </w:numPr>
        <w:spacing w:after="60" w:before="60"/>
      </w:pPr>
      <w:r>
        <w:rPr>
          <w:rFonts w:ascii="Arial" w:cs="Arial" w:eastAsia="Arial" w:hAnsi="Arial"/>
          <w:color w:val="1A4A8A"/>
          <w:sz w:val="22"/>
          <w:szCs w:val="22"/>
        </w:rPr>
        <w:t xml:space="preserve">Open Banking Development Guide: /open-banking-development-guide/</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"open banking sme lending uk, fintech credit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2026-05-24T12:23:24.872Z</dcterms:created>
  <dcterms:modified xsi:type="dcterms:W3CDTF">2026-05-24T12:23:24.872Z</dcterms:modified>
</cp:coreProperties>
</file>

<file path=docProps/custom.xml><?xml version="1.0" encoding="utf-8"?>
<Properties xmlns="http://schemas.openxmlformats.org/officeDocument/2006/custom-properties" xmlns:vt="http://schemas.openxmlformats.org/officeDocument/2006/docPropsVTypes"/>
</file>