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InsurTech Claims Portal — UK Commercial Lines MGA — ClickMasters Case Study
META DESC: A UK Managing General Agent (MGA) underwriting commercial lines insurance needed to build a digital claims por...
SLUG: /case-studies/insurtech-claims-portal-commercial-mga/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InsurTech Claims Portal — UK Commercial Lines MGA</w:t>
      </w:r>
    </w:p>
    <w:p>
      <w:pPr>
        <w:spacing w:after="60" w:before="60"/>
      </w:pPr>
    </w:p>
    <w:p>
      <w:pPr>
        <w:pStyle w:val="Heading1"/>
        <w:spacing w:after="160" w:before="360"/>
      </w:pPr>
      <w:r>
        <w:rPr>
          <w:rFonts w:ascii="Arial" w:cs="Arial" w:eastAsia="Arial" w:hAnsi="Arial"/>
          <w:b/>
          <w:bCs/>
          <w:color w:val="0B1F3A"/>
          <w:sz w:val="40"/>
          <w:szCs w:val="40"/>
        </w:rPr>
        <w:t xml:space="preserve">InsurTech Claims Portal — UK Commercial Lines MGA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InsurTech / Claims Technology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InsurTech / Claims Technology | Tech: Node.js/Fastify, React, PostgreSQL, Python (STP ML model), OpenAPI 3.0, Stripe (settlements), GOV.UK Notify (claimant correspondence), AWS eu-west-2 | Compliance: FCA ICOBS, FCA Consumer Duty (PS22/9), Solvency II UK, UK GDPR, AML (MLRs 2017 where applicable),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Managing General Agent (MGA) underwriting commercial lines insurance needed to build a digital claims portal for their broker network. Paper-based FNOL (First Notice of Loss) was causing 6–8 days average time to first contact with claimants. FCA ICOBS (Insurance Conduct of Business Sourcebook), Consumer Duty, Solvency II UK data requirements, and a broker-facing API were the core requirements. The MGA processed 2,400 claims per year. Budget: £95,000.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Broker API-First Claims Architecture: </w:t>
      </w:r>
      <w:r>
        <w:rPr>
          <w:rFonts w:ascii="Arial" w:cs="Arial" w:eastAsia="Arial" w:hAnsi="Arial"/>
          <w:b w:val="false"/>
          <w:bCs w:val="false"/>
          <w:i w:val="false"/>
          <w:iCs w:val="false"/>
          <w:color w:val="1A2332"/>
          <w:sz w:val="22"/>
          <w:szCs w:val="22"/>
        </w:rPr>
        <w:t xml:space="preserve">REST API (OpenAPI 3.0) for broker systems to submit FNOL programmatically — eliminating email and fax FNOL from major broker systems. Webhook notifications: claim status changes pushed to broker systems in real-time. Broker portal: web UI for brokers without API capability. All claims visible to both broker and MGA with role-based views.</w:t>
      </w:r>
    </w:p>
    <w:p>
      <w:pPr>
        <w:spacing w:after="160" w:before="100"/>
      </w:pPr>
      <w:r>
        <w:rPr>
          <w:rFonts w:ascii="Arial" w:cs="Arial" w:eastAsia="Arial" w:hAnsi="Arial"/>
          <w:b/>
          <w:bCs/>
          <w:i w:val="false"/>
          <w:iCs w:val="false"/>
          <w:color w:val="E8612A"/>
          <w:sz w:val="22"/>
          <w:szCs w:val="22"/>
        </w:rPr>
        <w:t xml:space="preserve">FCA ICOBS and Consumer Duty Claims Compliance: </w:t>
      </w:r>
      <w:r>
        <w:rPr>
          <w:rFonts w:ascii="Arial" w:cs="Arial" w:eastAsia="Arial" w:hAnsi="Arial"/>
          <w:b w:val="false"/>
          <w:bCs w:val="false"/>
          <w:i w:val="false"/>
          <w:iCs w:val="false"/>
          <w:color w:val="1A2332"/>
          <w:sz w:val="22"/>
          <w:szCs w:val="22"/>
        </w:rPr>
        <w:t xml:space="preserve">ICOBS 8: claims handling requirements — prompt acknowledgement, keep claimant informed of progress, reasons for declinature in writing. Consumer Duty Consumer Understanding: decline letters reviewed for Flesch reading ease &gt; 60 (plain English). Consumer Duty Consumer Support: complaint pathway clearly signposted in all claim communications. SLA monitoring: 5-day ICOBS acknowledgement target tracked per claim.</w:t>
      </w:r>
    </w:p>
    <w:p>
      <w:pPr>
        <w:spacing w:after="160" w:before="100"/>
      </w:pPr>
      <w:r>
        <w:rPr>
          <w:rFonts w:ascii="Arial" w:cs="Arial" w:eastAsia="Arial" w:hAnsi="Arial"/>
          <w:b/>
          <w:bCs/>
          <w:i w:val="false"/>
          <w:iCs w:val="false"/>
          <w:color w:val="E8612A"/>
          <w:sz w:val="22"/>
          <w:szCs w:val="22"/>
        </w:rPr>
        <w:t xml:space="preserve">Claims Triage and STP: </w:t>
      </w:r>
      <w:r>
        <w:rPr>
          <w:rFonts w:ascii="Arial" w:cs="Arial" w:eastAsia="Arial" w:hAnsi="Arial"/>
          <w:b w:val="false"/>
          <w:bCs w:val="false"/>
          <w:i w:val="false"/>
          <w:iCs w:val="false"/>
          <w:color w:val="1A2332"/>
          <w:sz w:val="22"/>
          <w:szCs w:val="22"/>
        </w:rPr>
        <w:t xml:space="preserve">Straight-Through Processing (STP) for low-value claims: property damage below £2,500 with no liability dispute, automated STP score above 85%, triggers automated reserve and fast-track settlement. STP rate target: 35% of claims. Non-STP: reserve suggestion from ML model (Python gradient boosting, trained on 3 years claim history), assigned to adjuster with relevant specialism.</w:t>
      </w:r>
    </w:p>
    <w:p>
      <w:pPr>
        <w:spacing w:after="160" w:before="100"/>
      </w:pPr>
      <w:r>
        <w:rPr>
          <w:rFonts w:ascii="Arial" w:cs="Arial" w:eastAsia="Arial" w:hAnsi="Arial"/>
          <w:b/>
          <w:bCs/>
          <w:i w:val="false"/>
          <w:iCs w:val="false"/>
          <w:color w:val="E8612A"/>
          <w:sz w:val="22"/>
          <w:szCs w:val="22"/>
        </w:rPr>
        <w:t xml:space="preserve">Solvency II UK Claims Data: </w:t>
      </w:r>
      <w:r>
        <w:rPr>
          <w:rFonts w:ascii="Arial" w:cs="Arial" w:eastAsia="Arial" w:hAnsi="Arial"/>
          <w:b w:val="false"/>
          <w:bCs w:val="false"/>
          <w:i w:val="false"/>
          <w:iCs w:val="false"/>
          <w:color w:val="1A2332"/>
          <w:sz w:val="22"/>
          <w:szCs w:val="22"/>
        </w:rPr>
        <w:t xml:space="preserve">Solvency II UK (UK SII): claims data must support QRT (Quantitative Reporting Template) S.19.01 (Non-Life Insurance Claims). Platform generates S.19.01 extract automatically at quarter-end. ORSA (Own Risk and Solvency Assessment) claims trend data: platform provides structured data export for actuarial modelling.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Portal live at 14 weeks, £88,000 — under budget. Time to first contact: 6–8 days → 1.2 days average. STP rate achieved: 38% (target 35%). Broker API adoption: 12 of the 18 major brokers integrated within 6 months. FCA Consumer Duty audit: zero adverse findings. Solvency II UK S.19.01 extract: first automated quarter-end production took 12 minutes (was 2 days manual). Claim cycle time (open to close): 42 days → 28 days average.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Solvency II extract alone was worth the investment — two days to 12 minutes at quarter-end. The FCA Consumer Duty audit found zero issues with our claims communications for the first time in three audits. The broker API has become a genuine competitive differentiator for new MGA partnerships." — Chief Claims Officer, UK Commercial MGA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Node.js/Fastify, React, PostgreSQL, Python (STP ML model), OpenAPI 3.0, Stripe (settlements), GOV.UK Notify (claimant correspondence),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ICOBS, FCA Consumer Duty (PS22/9), Solvency II UK, UK GDPR, AML (MLRs 2017 where applicable),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insurtech claims portal uk, mga software development uk, fnol digital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2026-05-26T08:06:01.872Z</dcterms:created>
  <dcterms:modified xsi:type="dcterms:W3CDTF">2026-05-26T08:06:01.872Z</dcterms:modified>
</cp:coreProperties>
</file>

<file path=docProps/custom.xml><?xml version="1.0" encoding="utf-8"?>
<Properties xmlns="http://schemas.openxmlformats.org/officeDocument/2006/custom-properties" xmlns:vt="http://schemas.openxmlformats.org/officeDocument/2006/docPropsVTypes"/>
</file>