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Mortgage Decision Engine — UK Challenger Lender — ClickMasters Case Study
META DESC: A UK FCA-authorised mortgage lender offering residential mortgages needed to rebuild their mortgage decision e...
SLUG: /case-studies/fintech-mortgage-decision-engine/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Mortgage Decision Engine — UK Challenger Lender</w:t>
      </w:r>
    </w:p>
    <w:p>
      <w:pPr>
        <w:spacing w:after="60" w:before="60"/>
      </w:pPr>
    </w:p>
    <w:p>
      <w:pPr>
        <w:pStyle w:val="Heading1"/>
        <w:spacing w:after="160" w:before="360"/>
      </w:pPr>
      <w:r>
        <w:rPr>
          <w:rFonts w:ascii="Arial" w:cs="Arial" w:eastAsia="Arial" w:hAnsi="Arial"/>
          <w:b/>
          <w:bCs/>
          <w:color w:val="0B1F3A"/>
          <w:sz w:val="40"/>
          <w:szCs w:val="40"/>
        </w:rPr>
        <w:t xml:space="preserve">FinTech Mortgage Decision Engine — UK Challenger Lender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Mortgage Technology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Mortgage Technology | Tech: Python/FastAPI, PostgreSQL, TrueLayer Open Banking, Experian API, CIFAS API, WeasyPrint (KFI PDF), React, AWS eu-west-2 | Compliance: FCA MCOB 5/7/11, FCA Consumer Duty (PS22/9), UK GDPR, PSD2/Open Banking, CIFAS membership obligations,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mortgage lender offering residential mortgages needed to rebuild their mortgage decision engine — a 2012 legacy system that required manual affordability calculations, could not consume Open Banking income verification data, and produced customer communications that failed FCA Consumer Duty Consumer Understanding requirements. The new engine needed to process 400 applications per day with FCA MCOB (Mortgage Conduct of Business) compliance, Open Banking AISP income verification, and automated KFI (Key Facts Illustration) generation.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Affordability Engine: </w:t>
      </w:r>
      <w:r>
        <w:rPr>
          <w:rFonts w:ascii="Arial" w:cs="Arial" w:eastAsia="Arial" w:hAnsi="Arial"/>
          <w:b w:val="false"/>
          <w:bCs w:val="false"/>
          <w:i w:val="false"/>
          <w:iCs w:val="false"/>
          <w:color w:val="1A2332"/>
          <w:sz w:val="22"/>
          <w:szCs w:val="22"/>
        </w:rPr>
        <w:t xml:space="preserve">FCA MCOB 11: stress-tested affordability calculation (applicant income after income tax and NI, committed expenditure including all other credit commitments, and a stressed mortgage payment at a rate above the product rate as per MCOB 11.6). Open Banking AISP (TrueLayer): 12 months income data directly from employer bank transactions — eliminating payslip fraud. Self-employed: 2-year average from business bank account transactions.</w:t>
      </w:r>
    </w:p>
    <w:p>
      <w:pPr>
        <w:spacing w:after="160" w:before="100"/>
      </w:pPr>
      <w:r>
        <w:rPr>
          <w:rFonts w:ascii="Arial" w:cs="Arial" w:eastAsia="Arial" w:hAnsi="Arial"/>
          <w:b/>
          <w:bCs/>
          <w:i w:val="false"/>
          <w:iCs w:val="false"/>
          <w:color w:val="E8612A"/>
          <w:sz w:val="22"/>
          <w:szCs w:val="22"/>
        </w:rPr>
        <w:t xml:space="preserve">Automated KFI Generation: </w:t>
      </w:r>
      <w:r>
        <w:rPr>
          <w:rFonts w:ascii="Arial" w:cs="Arial" w:eastAsia="Arial" w:hAnsi="Arial"/>
          <w:b w:val="false"/>
          <w:bCs w:val="false"/>
          <w:i w:val="false"/>
          <w:iCs w:val="false"/>
          <w:color w:val="1A2332"/>
          <w:sz w:val="22"/>
          <w:szCs w:val="22"/>
        </w:rPr>
        <w:t xml:space="preserve">MCOB 5 and MCOB 7: Key Facts Illustration (KFI) must be provided before application proceeds. KFI generation: product selection → total amount payable calculation → APRC (Annual Percentage Rate of Charge) → MCOB-prescribed format KFI as PDF (WeasyPrint). MCOB 7.6: KFI must be personalised to the applicant — no generic illustrations.</w:t>
      </w:r>
    </w:p>
    <w:p>
      <w:pPr>
        <w:spacing w:after="160" w:before="100"/>
      </w:pPr>
      <w:r>
        <w:rPr>
          <w:rFonts w:ascii="Arial" w:cs="Arial" w:eastAsia="Arial" w:hAnsi="Arial"/>
          <w:b/>
          <w:bCs/>
          <w:i w:val="false"/>
          <w:iCs w:val="false"/>
          <w:color w:val="E8612A"/>
          <w:sz w:val="22"/>
          <w:szCs w:val="22"/>
        </w:rPr>
        <w:t xml:space="preserve">FCA Consumer Duty Compliance: </w:t>
      </w:r>
      <w:r>
        <w:rPr>
          <w:rFonts w:ascii="Arial" w:cs="Arial" w:eastAsia="Arial" w:hAnsi="Arial"/>
          <w:b w:val="false"/>
          <w:bCs w:val="false"/>
          <w:i w:val="false"/>
          <w:iCs w:val="false"/>
          <w:color w:val="1A2332"/>
          <w:sz w:val="22"/>
          <w:szCs w:val="22"/>
        </w:rPr>
        <w:t xml:space="preserve">Consumer Understanding: all customer communications at Flesch reading ease &gt; 65. Consumer Support: complaint pathway clearly signposted at each stage. Products and Services: APRC clearly disclosed before any commitment. Price and Value: total cost of borrowing displayed across multiple mortgage terms for comparison. MCOB declined decision letters: specific reasons, plain English, Financial Ombudsman Service (FOS) referral information.</w:t>
      </w:r>
    </w:p>
    <w:p>
      <w:pPr>
        <w:spacing w:after="160" w:before="100"/>
      </w:pPr>
      <w:r>
        <w:rPr>
          <w:rFonts w:ascii="Arial" w:cs="Arial" w:eastAsia="Arial" w:hAnsi="Arial"/>
          <w:b/>
          <w:bCs/>
          <w:i w:val="false"/>
          <w:iCs w:val="false"/>
          <w:color w:val="E8612A"/>
          <w:sz w:val="22"/>
          <w:szCs w:val="22"/>
        </w:rPr>
        <w:t xml:space="preserve">Credit Risk and Fraud Screening: </w:t>
      </w:r>
      <w:r>
        <w:rPr>
          <w:rFonts w:ascii="Arial" w:cs="Arial" w:eastAsia="Arial" w:hAnsi="Arial"/>
          <w:b w:val="false"/>
          <w:bCs w:val="false"/>
          <w:i w:val="false"/>
          <w:iCs w:val="false"/>
          <w:color w:val="1A2332"/>
          <w:sz w:val="22"/>
          <w:szCs w:val="22"/>
        </w:rPr>
        <w:t xml:space="preserve">Experian credit report API: affordability credit data, public information (CCJs, bankruptcies, IVAs). CIFAS National Fraud Database screening. Automated fraud indicator scoring: income verification consistency (Open Banking vs stated income), address verification, bank account ownership verification (payee name match). High-risk applications routed to human underwriter.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Engine live at 16 weeks, £132,000 — under budget. Application processing time: 4.2 days → 6.8 hours average. KFI generation: automated — previously 45 minutes manual. Consumer Duty audit: zero adverse findings — Consumer Understanding outcome scores particularly commended. Income verification fraud: 3 fraudulent income declarations detected in first month (previously 0 detected — would have resulted in mortgage approvals). MCOB audit: zero compliance failures in first 6 months.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"Three fraud cases caught in the first month from income verification. We would have approved all three under the old system. That is £780,000 in potentially fraudulent mortgages that did not complete. The Consumer Duty audit was the cleanest we have had in 6 years." — Chief Risk Officer, UK Challenger Mortgage Lender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PostgreSQL, TrueLayer Open Banking, Experian API, CIFAS API, WeasyPrint (KFI PDF), React,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MCOB 5/7/11, FCA Consumer Duty (PS22/9), UK GDPR, PSD2/Open Banking, CIFAS membership obligations,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fintech mortgage decision engine uk, mcob software development uk, open banking mortgage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2026-05-26T08:15:33.233Z</dcterms:created>
  <dcterms:modified xsi:type="dcterms:W3CDTF">2026-05-26T08:15:33.233Z</dcterms:modified>
</cp:coreProperties>
</file>

<file path=docProps/custom.xml><?xml version="1.0" encoding="utf-8"?>
<Properties xmlns="http://schemas.openxmlformats.org/officeDocument/2006/custom-properties" xmlns:vt="http://schemas.openxmlformats.org/officeDocument/2006/docPropsVTypes"/>
</file>