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Diabetes Management App — NHS Pilot, DTAC Approved — ClickMasters Case Study
META DESC: A UK digital health charity wanted to build a consumer-facing diabetes self-management app, seeking NHS App Li...
SLUG: /case-studies/healthtech-diabetes-management-app-nhs/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Diabetes Management App — NHS Pilot, DTAC Approved</w:t>
      </w:r>
    </w:p>
    <w:p>
      <w:pPr>
        <w:spacing w:after="60" w:before="60"/>
      </w:pPr>
    </w:p>
    <w:p>
      <w:pPr>
        <w:pStyle w:val="Heading1"/>
        <w:spacing w:after="160" w:before="360"/>
      </w:pPr>
      <w:r>
        <w:rPr>
          <w:rFonts w:ascii="Arial" w:cs="Arial" w:eastAsia="Arial" w:hAnsi="Arial"/>
          <w:b/>
          <w:bCs/>
          <w:color w:val="0B1F3A"/>
          <w:sz w:val="40"/>
          <w:szCs w:val="40"/>
        </w:rPr>
        <w:t xml:space="preserve">HealthTech Diabetes Management App — NHS Pilot, DTAC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Consumer Health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Consumer Health | Tech: React Native (iOS + Android), Node.js/Fastify, PostgreSQL, NHS Login OIDC, AWS eu-west-2 | Compliance: DTAC all 5 domains, DCB0129, UK GDPR Article 9, ICO AADC, NHS Login,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digital health charity wanted to build a consumer-facing diabetes self-management app, seeking NHS App Library listing and referral from NHS GPs. The app would provide: blood glucose logging, HbA1c trend tracking, medication reminders, and personalised dietary guidance. DTAC all 5 domains, NHS Login integration, UK GDPR Article 9 (health data), ICO Age Appropriate Design Code (some users could be under 18 with Type 1 diabetes), and MHRA medical device classification review were required. Budget: £75,000.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MHRA Classification: </w:t>
      </w:r>
      <w:r>
        <w:rPr>
          <w:rFonts w:ascii="Arial" w:cs="Arial" w:eastAsia="Arial" w:hAnsi="Arial"/>
          <w:b w:val="false"/>
          <w:bCs w:val="false"/>
          <w:i w:val="false"/>
          <w:iCs w:val="false"/>
          <w:color w:val="1A2332"/>
          <w:sz w:val="22"/>
          <w:szCs w:val="22"/>
        </w:rPr>
        <w:t xml:space="preserve">Diabetes management apps sit at the boundary of medical device classification. ClickMasters's MHRA analysis: the app provides personalised dietary guidance based on user-entered health data — potential Class I medical device. Route: Intended Purpose Statement drafted to qualify as "general wellness" (not medical device) by excluding diagnostic claims and ensuring all guidance is general health information, not clinical recommendations. Documented MHRA classification reasoning filed before development.</w:t>
      </w:r>
    </w:p>
    <w:p>
      <w:pPr>
        <w:spacing w:after="160" w:before="100"/>
      </w:pPr>
      <w:r>
        <w:rPr>
          <w:rFonts w:ascii="Arial" w:cs="Arial" w:eastAsia="Arial" w:hAnsi="Arial"/>
          <w:b/>
          <w:bCs/>
          <w:i w:val="false"/>
          <w:iCs w:val="false"/>
          <w:color w:val="E8612A"/>
          <w:sz w:val="22"/>
          <w:szCs w:val="22"/>
        </w:rPr>
        <w:t xml:space="preserve">NHS Login P5 Integration: </w:t>
      </w:r>
      <w:r>
        <w:rPr>
          <w:rFonts w:ascii="Arial" w:cs="Arial" w:eastAsia="Arial" w:hAnsi="Arial"/>
          <w:b w:val="false"/>
          <w:bCs w:val="false"/>
          <w:i w:val="false"/>
          <w:iCs w:val="false"/>
          <w:color w:val="1A2332"/>
          <w:sz w:val="22"/>
          <w:szCs w:val="22"/>
        </w:rPr>
        <w:t xml:space="preserve">NHS Login P5 (basic identity, email verification) for adult users. Under-18 flow: parent/guardian NHS Login account authorises child profile creation. ICO AADC: under-18 profiles default to restricted data sharing — no progress data shared with third parties without explicit parental consent. NHS Number not stored — NHS Login sub (anonymised identifier) used.</w:t>
      </w:r>
    </w:p>
    <w:p>
      <w:pPr>
        <w:spacing w:after="160" w:before="100"/>
      </w:pPr>
      <w:r>
        <w:rPr>
          <w:rFonts w:ascii="Arial" w:cs="Arial" w:eastAsia="Arial" w:hAnsi="Arial"/>
          <w:b/>
          <w:bCs/>
          <w:i w:val="false"/>
          <w:iCs w:val="false"/>
          <w:color w:val="E8612A"/>
          <w:sz w:val="22"/>
          <w:szCs w:val="22"/>
        </w:rPr>
        <w:t xml:space="preserve">UK GDPR Article 9 Health Data Architecture: </w:t>
      </w:r>
      <w:r>
        <w:rPr>
          <w:rFonts w:ascii="Arial" w:cs="Arial" w:eastAsia="Arial" w:hAnsi="Arial"/>
          <w:b w:val="false"/>
          <w:bCs w:val="false"/>
          <w:i w:val="false"/>
          <w:iCs w:val="false"/>
          <w:color w:val="1A2332"/>
          <w:sz w:val="22"/>
          <w:szCs w:val="22"/>
        </w:rPr>
        <w:t xml:space="preserve">Blood glucose readings, HbA1c trends, and medication data are Article 9 special category health data. Explicit consent for each data category (not bundled consent). Data minimisation: app only stores data the user actively enters — no inferred health data. Right to portability: complete health data export in JSON and CSV. Data at rest: AES-256 field-level encryption for all health data fields.</w:t>
      </w:r>
    </w:p>
    <w:p>
      <w:pPr>
        <w:spacing w:after="160" w:before="100"/>
      </w:pPr>
      <w:r>
        <w:rPr>
          <w:rFonts w:ascii="Arial" w:cs="Arial" w:eastAsia="Arial" w:hAnsi="Arial"/>
          <w:b/>
          <w:bCs/>
          <w:i w:val="false"/>
          <w:iCs w:val="false"/>
          <w:color w:val="E8612A"/>
          <w:sz w:val="22"/>
          <w:szCs w:val="22"/>
        </w:rPr>
        <w:t xml:space="preserve">DTAC Domain 1 Clinical Safety: </w:t>
      </w:r>
      <w:r>
        <w:rPr>
          <w:rFonts w:ascii="Arial" w:cs="Arial" w:eastAsia="Arial" w:hAnsi="Arial"/>
          <w:b w:val="false"/>
          <w:bCs w:val="false"/>
          <w:i w:val="false"/>
          <w:iCs w:val="false"/>
          <w:color w:val="1A2332"/>
          <w:sz w:val="22"/>
          <w:szCs w:val="22"/>
        </w:rPr>
        <w:t xml:space="preserve">DCB0129: intended purpose explicitly excludes clinical decisions (glucose interpretation is informational, not diagnostic). Clinical Risk Management Plan: highest hazard identified as incorrect medication reminder (mitigated by double-entry confirmation for medication doses). Clinical Safety Officer: a Type 1 diabetes-experienced nurse as CSO. Hazard Log signed off before any patient-facing deployment.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NHS App Library listed at 14 weeks, £68,000 — under budget. DTAC approved all 5 domains (first submission). 6,200 registered users in first 4 months via NHS GP referral pathway. ICO AADC audit: zero findings. UK GDPR Article 9: DPO reviewed architecture and confirmed compliant. App Store rating: 4.6/5. NHS England digital team cited app as example of DTAC-compliant consumer health app.</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"NHS App Library listed on first submission — something our previous technology partner said would take three attempts. The MHRA classification reasoning saved us from the trap of accidentally building a medical device. 6,200 users via GP referral in four months exceeded our 18-month target." — CEO, UK Digital Health Charity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(iOS + Android), Node.js/Fastify, PostgreSQL, NHS Login OIDC,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UK GDPR Article 9, ICO AADC, NHS Login,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diabetes app development uk, dtac consumer health app uk, healthtech diabetes management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2026-05-26T14:36:10.012Z</dcterms:created>
  <dcterms:modified xsi:type="dcterms:W3CDTF">2026-05-26T14:36:10.013Z</dcterms:modified>
</cp:coreProperties>
</file>

<file path=docProps/custom.xml><?xml version="1.0" encoding="utf-8"?>
<Properties xmlns="http://schemas.openxmlformats.org/officeDocument/2006/custom-properties" xmlns:vt="http://schemas.openxmlformats.org/officeDocument/2006/docPropsVTypes"/>
</file>