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NHS Digital Capacity Planning Tool — ICB — ClickMasters Case Study
META DESC: An NHS Integrated Care Board (ICB) responsible for health system planning across a population of 1.1 million p...
SLUG: /case-studies/govtech-nhs-digital-capacity-planning-icb/</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NHS Digital Capacity Planning Tool — ICB</w:t>
      </w:r>
    </w:p>
    <w:p>
      <w:pPr>
        <w:spacing w:after="60" w:before="60"/>
      </w:pPr>
    </w:p>
    <w:p>
      <w:pPr>
        <w:pStyle w:val="Heading1"/>
        <w:spacing w:after="160" w:before="360"/>
      </w:pPr>
      <w:r>
        <w:rPr>
          <w:rFonts w:ascii="Arial" w:cs="Arial" w:eastAsia="Arial" w:hAnsi="Arial"/>
          <w:b/>
          <w:bCs/>
          <w:color w:val="0B1F3A"/>
          <w:sz w:val="40"/>
          <w:szCs w:val="40"/>
        </w:rPr>
        <w:t xml:space="preserve">GovTech NHS Digital Capacity Planning Tool — ICB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NHS Planning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NHS Planning | Tech: Next.js, Python/FastAPI, PostgreSQL, ONS Population Projections API, PHE Fingertips API, NHS Digital GP Appointments data, AWS eu-west-2 | Compliance: NHS DSP Toolkit, UK GDPR Article 9, WCAG 2.1 AA (PSBAR 2018), NHS England planning data standards,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Integrated Care Board (ICB) responsible for health system planning across a population of 1.1 million people needed a digital capacity planning tool. The ICB needed to model healthcare demand (population growth, demographics, disease burden), map against capacity (hospital beds, GP appointments, community services), and identify capacity gaps for investment planning. NHS DSP Toolkit, UK GDPR Article 9, WCAG 2.1 AA for the governance dashboard, and NHS England planning data standards were the requirements. Budget: £80,000.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Population Health Modelling: </w:t>
      </w:r>
      <w:r>
        <w:rPr>
          <w:rFonts w:ascii="Arial" w:cs="Arial" w:eastAsia="Arial" w:hAnsi="Arial"/>
          <w:b w:val="false"/>
          <w:bCs w:val="false"/>
          <w:i w:val="false"/>
          <w:iCs w:val="false"/>
          <w:color w:val="1A2332"/>
          <w:sz w:val="22"/>
          <w:szCs w:val="22"/>
        </w:rPr>
        <w:t xml:space="preserve">ONS Population Projections API: 2024-based projections by age band, sex, and MSOA (Middle Super Output Area) — the ICB's planning geography. Disease burden modelling: Public Health England Fingertips API for prevalence rates by MSOA (diabetes, COPD, cardiovascular disease, cancer). Demand projection: age-sex-adjusted prevalence × population projection = expected disease burden 1, 5, and 10 years forward.</w:t>
      </w:r>
    </w:p>
    <w:p>
      <w:pPr>
        <w:spacing w:after="160" w:before="100"/>
      </w:pPr>
      <w:r>
        <w:rPr>
          <w:rFonts w:ascii="Arial" w:cs="Arial" w:eastAsia="Arial" w:hAnsi="Arial"/>
          <w:b/>
          <w:bCs/>
          <w:i w:val="false"/>
          <w:iCs w:val="false"/>
          <w:color w:val="E8612A"/>
          <w:sz w:val="22"/>
          <w:szCs w:val="22"/>
        </w:rPr>
        <w:t xml:space="preserve">NHS Capacity Data Integration: </w:t>
      </w:r>
      <w:r>
        <w:rPr>
          <w:rFonts w:ascii="Arial" w:cs="Arial" w:eastAsia="Arial" w:hAnsi="Arial"/>
          <w:b w:val="false"/>
          <w:bCs w:val="false"/>
          <w:i w:val="false"/>
          <w:iCs w:val="false"/>
          <w:color w:val="1A2332"/>
          <w:sz w:val="22"/>
          <w:szCs w:val="22"/>
        </w:rPr>
        <w:t xml:space="preserve">NHS England Model Health System (MHS) data: reference rates for specialty activity by population age-sex profile. NHS Estates data: hospital bed configurations, theatre lists, outpatient clinic capacity per provider. Primary care: NHS Digital GP Appointments data (CSV upload from NHS England GP data). Community services: CSDS (Community Services Data Set) from NHS Digital — community nursing, physiotherapy, mental health contacts.</w:t>
      </w:r>
    </w:p>
    <w:p>
      <w:pPr>
        <w:spacing w:after="160" w:before="100"/>
      </w:pPr>
      <w:r>
        <w:rPr>
          <w:rFonts w:ascii="Arial" w:cs="Arial" w:eastAsia="Arial" w:hAnsi="Arial"/>
          <w:b/>
          <w:bCs/>
          <w:i w:val="false"/>
          <w:iCs w:val="false"/>
          <w:color w:val="E8612A"/>
          <w:sz w:val="22"/>
          <w:szCs w:val="22"/>
        </w:rPr>
        <w:t xml:space="preserve">Capacity Gap Analysis: </w:t>
      </w:r>
      <w:r>
        <w:rPr>
          <w:rFonts w:ascii="Arial" w:cs="Arial" w:eastAsia="Arial" w:hAnsi="Arial"/>
          <w:b w:val="false"/>
          <w:bCs w:val="false"/>
          <w:i w:val="false"/>
          <w:iCs w:val="false"/>
          <w:color w:val="1A2332"/>
          <w:sz w:val="22"/>
          <w:szCs w:val="22"/>
        </w:rPr>
        <w:t xml:space="preserve">Capacity gap = projected demand − available capacity. Presented by service line, by geography (MSOA heatmap), and by time horizon (1/5/10 years). Scenario modelling: "what if" analysis (e.g., increase GP capacity by 15% — what is the residual gap?). Investment prioritisation: gap severity × population vulnerability score × cost per unit capacity = investment priority index.</w:t>
      </w:r>
    </w:p>
    <w:p>
      <w:pPr>
        <w:spacing w:after="160" w:before="100"/>
      </w:pPr>
      <w:r>
        <w:rPr>
          <w:rFonts w:ascii="Arial" w:cs="Arial" w:eastAsia="Arial" w:hAnsi="Arial"/>
          <w:b/>
          <w:bCs/>
          <w:i w:val="false"/>
          <w:iCs w:val="false"/>
          <w:color w:val="E8612A"/>
          <w:sz w:val="22"/>
          <w:szCs w:val="22"/>
        </w:rPr>
        <w:t xml:space="preserve">Governance Dashboard WCAG 2.1 AA: </w:t>
      </w:r>
      <w:r>
        <w:rPr>
          <w:rFonts w:ascii="Arial" w:cs="Arial" w:eastAsia="Arial" w:hAnsi="Arial"/>
          <w:b w:val="false"/>
          <w:bCs w:val="false"/>
          <w:i w:val="false"/>
          <w:iCs w:val="false"/>
          <w:color w:val="1A2332"/>
          <w:sz w:val="22"/>
          <w:szCs w:val="22"/>
        </w:rPr>
        <w:t xml:space="preserve">ICB Governing Body dashboard: executive summary metrics (headline capacity gaps), drill-down by service line, and scenario comparison. WCAG 2.1 AA: non-technical ICB Board members include individuals with visual impairments — manual NVDA testing on every sprint. Data export: Excel and CSV download for the actuarial and finance teams.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Tool live at 14 weeks, £72,000 — under budget. ICB used the tool in the 2025/26 Joint Forward Plan (NHS planning submission). NHSE review: capacity gap analysis cited as a strength in JFP peer review. Five-year demand projection: identified £34M capacity investment requirement that was not visible in existing planning data. Scenario modelling: GP capacity scenario showed 38% reduction in hospital outpatient demand gap. WCAG 2.1 AA: zero issues in Cabinet Office monitoring.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£34M investment requirement that emerged from the capacity gap analysis changed our conversation with NHS England. We had been asking for £12M — the data showed we needed £34M, and we were able to evidence it. The tool was cited in the NHSE JFP peer review as a strength." — Chief Strategy Officer, NHS Integrated Care Board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Python/FastAPI, PostgreSQL, ONS Population Projections API, PHE Fingertips API, NHS Digital GP Appointments data,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DSP Toolkit, UK GDPR Article 9, WCAG 2.1 AA (PSBAR 2018), NHS England planning data standards,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capacity planning software uk, icb digital planning tool uk, govtech nhs planning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2026-05-27T15:10:49.916Z</dcterms:created>
  <dcterms:modified xsi:type="dcterms:W3CDTF">2026-05-27T15:10:49.916Z</dcterms:modified>
</cp:coreProperties>
</file>

<file path=docProps/custom.xml><?xml version="1.0" encoding="utf-8"?>
<Properties xmlns="http://schemas.openxmlformats.org/officeDocument/2006/custom-properties" xmlns:vt="http://schemas.openxmlformats.org/officeDocument/2006/docPropsVTypes"/>
</file>