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SME Cashflow Forecasting Platform — UK Challenger Bank — ClickMasters Case Study
META DESC: A UK FCA-authorised challenger bank serving 28,000 SME clients wanted to build a cashflow forecasting platform...
SLUG: /case-studies/fintech-sme-cashflow-forecasting-challenger/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SME Cashflow Forecasting Platform — UK Challenger Bank</w:t>
      </w:r>
    </w:p>
    <w:p>
      <w:pPr>
        <w:spacing w:after="60" w:before="60"/>
      </w:pPr>
    </w:p>
    <w:p>
      <w:pPr>
        <w:pStyle w:val="Heading1"/>
        <w:spacing w:after="160" w:before="360"/>
      </w:pPr>
      <w:r>
        <w:rPr>
          <w:rFonts w:ascii="Arial" w:cs="Arial" w:eastAsia="Arial" w:hAnsi="Arial"/>
          <w:b/>
          <w:bCs/>
          <w:color w:val="0B1F3A"/>
          <w:sz w:val="40"/>
          <w:szCs w:val="40"/>
        </w:rPr>
        <w:t xml:space="preserve">FinTech SME Cashflow Forecasting Platform — UK Challenger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SME Banking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SME Banking | Tech: React Native, Python/FastAPI, PostgreSQL, TrueLayer AISP, HMRC MTD API, Xero API, QuickBooks API, PyTorch (LSTM), AWS eu-west-2 | Compliance: FCA Consumer Duty (voluntary), UK GDPR, PSD2/Open Banking, HMRC MTD,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FCA-authorised challenger bank serving 28,000 SME clients wanted to build a cashflow forecasting platform — using Open Banking transaction data, invoice data, and payroll data to provide 13-week rolling cashflow forecasts. FCA Consumer Duty (SME banking is not Consumer Duty for micro-businesses, but the bank extended it voluntarily), UK GDPR for SME financial data, PSD2 AISP data sharing, and HMRC Making Tax Digital (MTD) data integration were the requirements. Budget: £100,000.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Open Banking + MTD Data Aggregation: </w:t>
      </w:r>
      <w:r>
        <w:rPr>
          <w:rFonts w:ascii="Arial" w:cs="Arial" w:eastAsia="Arial" w:hAnsi="Arial"/>
          <w:b w:val="false"/>
          <w:bCs w:val="false"/>
          <w:i w:val="false"/>
          <w:iCs w:val="false"/>
          <w:color w:val="1A2332"/>
          <w:sz w:val="22"/>
          <w:szCs w:val="22"/>
        </w:rPr>
        <w:t xml:space="preserve">TrueLayer AISP: business current account, business savings, business credit card transactions (12 months history, daily refresh). HMRC MTD VAT API: VAT return history (quarterly liability) as a proxy for business revenue pattern. Xero/QuickBooks API: invoice data (open invoices as receivables, supplier invoices as payables). Data normalisation: all data sources normalised to a weekly cashflow category taxonomy (receipts, payroll, HMRC, supplier payments, bank charges, other).</w:t>
      </w:r>
    </w:p>
    <w:p>
      <w:pPr>
        <w:spacing w:after="160" w:before="100"/>
      </w:pPr>
      <w:r>
        <w:rPr>
          <w:rFonts w:ascii="Arial" w:cs="Arial" w:eastAsia="Arial" w:hAnsi="Arial"/>
          <w:b/>
          <w:bCs/>
          <w:i w:val="false"/>
          <w:iCs w:val="false"/>
          <w:color w:val="E8612A"/>
          <w:sz w:val="22"/>
          <w:szCs w:val="22"/>
        </w:rPr>
        <w:t xml:space="preserve">13-Week Cashflow Forecast Model: </w:t>
      </w:r>
      <w:r>
        <w:rPr>
          <w:rFonts w:ascii="Arial" w:cs="Arial" w:eastAsia="Arial" w:hAnsi="Arial"/>
          <w:b w:val="false"/>
          <w:bCs w:val="false"/>
          <w:i w:val="false"/>
          <w:iCs w:val="false"/>
          <w:color w:val="1A2332"/>
          <w:sz w:val="22"/>
          <w:szCs w:val="22"/>
        </w:rPr>
        <w:t xml:space="preserve">Forecasting methodology: category-specific algorithms. Payroll: fixed (known amount and date from payroll data). PAYE/NI: calculated from payroll data (employer NI + PAYE liability). VAT: quarterly from MTD return history, smoothed to monthly accrual. Sales receipts: ML model (LSTM sequence model in PyTorch) trained on 18 months of transaction history — learns business-specific payment timing patterns. Supplier payments: invoice due dates from Xero/QuickBooks.</w:t>
      </w:r>
    </w:p>
    <w:p>
      <w:pPr>
        <w:spacing w:after="160" w:before="100"/>
      </w:pPr>
      <w:r>
        <w:rPr>
          <w:rFonts w:ascii="Arial" w:cs="Arial" w:eastAsia="Arial" w:hAnsi="Arial"/>
          <w:b/>
          <w:bCs/>
          <w:i w:val="false"/>
          <w:iCs w:val="false"/>
          <w:color w:val="E8612A"/>
          <w:sz w:val="22"/>
          <w:szCs w:val="22"/>
        </w:rPr>
        <w:t xml:space="preserve">Cashflow Stress Testing: </w:t>
      </w:r>
      <w:r>
        <w:rPr>
          <w:rFonts w:ascii="Arial" w:cs="Arial" w:eastAsia="Arial" w:hAnsi="Arial"/>
          <w:b w:val="false"/>
          <w:bCs w:val="false"/>
          <w:i w:val="false"/>
          <w:iCs w:val="false"/>
          <w:color w:val="1A2332"/>
          <w:sz w:val="22"/>
          <w:szCs w:val="22"/>
        </w:rPr>
        <w:t xml:space="preserve">Stress test scenarios: what if largest customer is 30 days late? what if three invoices are disputed simultaneously? what if VAT is due in this period? Each stress scenario: recalculates 13-week forecast with scenario applied, shows minimum cashflow week, and flags if balance drops below a configurable safety threshold. Alert: if forecast shows negative cashflow in any week within 4 weeks, bank sends in-app notification to SME owner.</w:t>
      </w:r>
    </w:p>
    <w:p>
      <w:pPr>
        <w:spacing w:after="160" w:before="100"/>
      </w:pPr>
      <w:r>
        <w:rPr>
          <w:rFonts w:ascii="Arial" w:cs="Arial" w:eastAsia="Arial" w:hAnsi="Arial"/>
          <w:b/>
          <w:bCs/>
          <w:i w:val="false"/>
          <w:iCs w:val="false"/>
          <w:color w:val="E8612A"/>
          <w:sz w:val="22"/>
          <w:szCs w:val="22"/>
        </w:rPr>
        <w:t xml:space="preserve">FCA Consumer Duty (Voluntary Extension): </w:t>
      </w:r>
      <w:r>
        <w:rPr>
          <w:rFonts w:ascii="Arial" w:cs="Arial" w:eastAsia="Arial" w:hAnsi="Arial"/>
          <w:b w:val="false"/>
          <w:bCs w:val="false"/>
          <w:i w:val="false"/>
          <w:iCs w:val="false"/>
          <w:color w:val="1A2332"/>
          <w:sz w:val="22"/>
          <w:szCs w:val="22"/>
        </w:rPr>
        <w:t xml:space="preserve">The bank voluntarily applied FCA Consumer Duty principles to all SME clients. Consumer Support: cashflow alert triggers proactive outreach from SME relationship manager. Consumer Understanding: forecast explanations in plain English ("Your lowest cashflow week is forecast for 14–20 March because your VAT payment is due and your two largest invoices are not expected to be paid until after that date"). Products and Services: credit facility upsell only surfaced when cashflow forecast shows genuine stress.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14 weeks, £92,000 — under budget. SME engagement: 68% of enrolled SMEs checking forecast weekly (industry benchmark: 20% weekly app engagement). Early cashflow stress alerts: 340 SMEs received alerts in first 6 months — 87% accessed credit facility or took action before reaching negative cashflow. SME churn: 18% reduction in SME accounts closed. Consumer Duty voluntary review: bank's voluntary Consumer Duty application to SMEs cited as industry best practice by FCA Innovation team.</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"340 SME early warnings in 6 months — 87% of them acted before reaching negative cashflow. That is the product. Without the forecast, they would not have known until their bank account was empty. The FCA Innovation team cited our voluntary Consumer Duty extension as industry best practice. That is a better outcome than we expected." — Chief Product Officer, UK Challenger Bank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Python/FastAPI, PostgreSQL, TrueLayer AISP, HMRC MTD API, Xero API, QuickBooks API, PyTorch (LSTM),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Consumer Duty (voluntary), UK GDPR, PSD2/Open Banking, HMRC MTD,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sme cashflow forecasting software uk, challenger bank fintech uk, open banking cashflow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2026-05-27T15:10:49.952Z</dcterms:created>
  <dcterms:modified xsi:type="dcterms:W3CDTF">2026-05-27T15:10:49.952Z</dcterms:modified>
</cp:coreProperties>
</file>

<file path=docProps/custom.xml><?xml version="1.0" encoding="utf-8"?>
<Properties xmlns="http://schemas.openxmlformats.org/officeDocument/2006/custom-properties" xmlns:vt="http://schemas.openxmlformats.org/officeDocument/2006/docPropsVTypes"/>
</file>