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Monolith vs Microservices — Which for UK Software? (2025) | ClickMasters
META DESC: Start with a well-structured monolith (modular monolith) for most UK software projects. Extract microservices only when a specific service needs to scale indepe
SLUG: /monolith-vs-microservices-uk/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August 2025  |  Reading time: 9 min  |  Written by: ClickMasters Strategy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Monolith vs Microservices — Which for UK Software? (2025)</w:t>
      </w:r>
    </w:p>
    <w:p>
      <w:pPr>
        <w:spacing w:after="60" w:before="60"/>
      </w:pPr>
    </w:p>
    <w:p>
      <w:pPr>
        <w:pStyle w:val="Heading1"/>
        <w:spacing w:after="160" w:before="360"/>
      </w:pPr>
      <w:r>
        <w:rPr>
          <w:rFonts w:ascii="Arial" w:cs="Arial" w:eastAsia="Arial" w:hAnsi="Arial"/>
          <w:b/>
          <w:bCs/>
          <w:color w:val="0B1F3A"/>
          <w:sz w:val="40"/>
          <w:szCs w:val="40"/>
        </w:rPr>
        <w:t xml:space="preserve">Monolith vs Microservices — Which Architecture for UK Software? (2025)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GBP</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Comparison</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Law</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Start with a well-structured monolith (modular monolith) for most UK software projects. Extract microservices only when a specific service needs to scale independently, has a different deployment cadence, or is owned by a separate team. ClickMasters builds modular monoliths for all projects under Series B — microservices add operational complexity that is not justified until you have 3+ independent teams and genuine scaling needs.</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Monolith vs microservices is the most common UK architecture debate. The honest answer in 2025: most teams start microservices too early. Here is when each is right.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Monolith vs Microservices — UK Architecture Decision Framework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13"/>
        <w:gridCol w:w="3213"/>
      </w:tblGrid>
      <w:tr>
        <w:trPr>
          <w:tblHeader/>
        </w:trPr>
        <w:tc>
          <w:tcPr>
            <w:tcW w:type="dxa" w:w="26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Factor</w:t>
            </w:r>
          </w:p>
        </w:tc>
        <w:tc>
          <w:tcPr>
            <w:tcW w:type="dxa" w:w="3213"/>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Modular Monolith</w:t>
            </w:r>
          </w:p>
        </w:tc>
        <w:tc>
          <w:tcPr>
            <w:tcW w:type="dxa" w:w="3213"/>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Microservices</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Team size suitability</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1–10 engineers — minimal overhead</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 teams, 20+ engineers — justified complexity</w:t>
            </w:r>
          </w:p>
        </w:tc>
      </w:tr>
      <w:tr>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Operational complexity</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One deployment, one database, one service</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Multiple deployments, DBs, services, networking</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GDPR data isolation</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Good — module boundaries enforce separation</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Database per service — strongest isolation</w:t>
            </w:r>
          </w:p>
        </w:tc>
      </w:tr>
      <w:tr>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FCA PS21/3 IBS mapping</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Single service per IBS (less natural)</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Each IBS is a service — natural boundary</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Local development</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One docker-compose up</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Multiple services to run locally</w:t>
            </w:r>
          </w:p>
        </w:tc>
      </w:tr>
      <w:tr>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Deployment speed</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One CI/CD pipeline</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Multiple pipelines — more to maintain</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Debugging</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Single stack trace</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Distributed tracing required (X-Ray, Jaeger)</w:t>
            </w:r>
          </w:p>
        </w:tc>
      </w:tr>
      <w:tr>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Scale specific components</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 — scale the whole monolith</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Scale only the hot service</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ClickMasters default</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All projects under Series B</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Series B+ with multiple product teams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When should a UK startup migrate from monolith to microservices?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ClickMasters trigger criteria for microservices migration: (1) you have 3+ independent teams who need to deploy independently without coordinating, (2) a specific service needs to scale at 10× the rate of the rest of the application, (3) a service has genuinely different operational requirements (e.g., a payment service that needs PCI-DSS isolation). The Strangler Fig pattern: extract services gradually — never do a "big bang" microservices migration.</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Is a modular monolith UK GDPR compliant?</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UK GDPR compliance depends on data access controls, not architecture. A modular monolith can implement row-level security (PostgreSQL RLS), module-level access controls, and audit logging just as effectively as microservices. The argument that microservices are "more GDPR compliant" because each service has its own database is valid at the margin but irrelevant for most UK projects — what matters is who can query what data, not which process issues the query.</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Microservices Architecture UK: /microservices-architecture/</w:t>
      </w:r>
    </w:p>
    <w:p>
      <w:pPr>
        <w:pStyle w:val="ListParagraph"/>
        <w:numPr>
          <w:ilvl w:val="0"/>
          <w:numId w:val="2"/>
        </w:numPr>
        <w:spacing w:after="60" w:before="60"/>
      </w:pPr>
      <w:r>
        <w:rPr>
          <w:rFonts w:ascii="Arial" w:cs="Arial" w:eastAsia="Arial" w:hAnsi="Arial"/>
          <w:color w:val="1A4A8A"/>
          <w:sz w:val="22"/>
          <w:szCs w:val="22"/>
        </w:rPr>
        <w:t xml:space="preserve">Cloud-Native Development UK: /cloud-native-development/</w:t>
      </w:r>
    </w:p>
    <w:p>
      <w:pPr>
        <w:pStyle w:val="ListParagraph"/>
        <w:numPr>
          <w:ilvl w:val="0"/>
          <w:numId w:val="2"/>
        </w:numPr>
        <w:spacing w:after="60" w:before="60"/>
      </w:pPr>
      <w:r>
        <w:rPr>
          <w:rFonts w:ascii="Arial" w:cs="Arial" w:eastAsia="Arial" w:hAnsi="Arial"/>
          <w:color w:val="1A4A8A"/>
          <w:sz w:val="22"/>
          <w:szCs w:val="22"/>
        </w:rPr>
        <w:t xml:space="preserve">Custom Software Development UK: /custom-software-development/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Book a Free Consultation</w:t>
            </w:r>
          </w:p>
          <w:p>
            <w:pPr>
              <w:spacing w:after="160" w:before="0"/>
            </w:pPr>
            <w:r>
              <w:rPr>
                <w:rFonts w:ascii="Arial" w:cs="Arial" w:eastAsia="Arial" w:hAnsi="Arial"/>
                <w:color w:val="BDD0E8"/>
                <w:sz w:val="22"/>
                <w:szCs w:val="22"/>
              </w:rPr>
              <w:t xml:space="preserve">Honest advice.</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Strategy Team</w:t>
            </w:r>
          </w:p>
          <w:p>
            <w:pPr>
              <w:spacing w:after="80" w:before="0"/>
            </w:pPr>
            <w:r>
              <w:rPr>
                <w:rFonts w:ascii="Arial" w:cs="Arial" w:eastAsia="Arial" w:hAnsi="Arial"/>
                <w:b/>
                <w:bCs/>
                <w:color w:val="E8612A"/>
                <w:sz w:val="20"/>
                <w:szCs w:val="20"/>
              </w:rPr>
              <w:t xml:space="preserve">UK software development specialists</w:t>
            </w:r>
          </w:p>
          <w:p>
            <w:pPr>
              <w:spacing w:after="0" w:before="0"/>
            </w:pPr>
            <w:r>
              <w:rPr>
                <w:rFonts w:ascii="Arial" w:cs="Arial" w:eastAsia="Arial" w:hAnsi="Arial"/>
                <w:color w:val="1A2332"/>
                <w:sz w:val="20"/>
                <w:szCs w:val="20"/>
              </w:rPr>
              <w:t xml:space="preserve">Analysis based on real UK market experience.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FAQPage | "monolith vs microservices uk"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2026-05-29T13:36:28.003Z</dcterms:created>
  <dcterms:modified xsi:type="dcterms:W3CDTF">2026-05-29T13:36:28.003Z</dcterms:modified>
</cp:coreProperties>
</file>

<file path=docProps/custom.xml><?xml version="1.0" encoding="utf-8"?>
<Properties xmlns="http://schemas.openxmlformats.org/officeDocument/2006/custom-properties" xmlns:vt="http://schemas.openxmlformats.org/officeDocument/2006/docPropsVTypes"/>
</file>