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AWS vs Azure for UK Businesses — Data Residency &amp; GDPR | ClickMasters
META DESC: AWS eu-west-2 vs Azure UK South for UK businesses. UK GDPR data residency, NHS/Gov preference, pricing comparison, Microsoft 365 integration. Free consultation.
SLUG: /aws-vs-azure-uk/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11 min  |  Written by: ClickMasters Cloud Team  |  Reviewed by: AWS &amp; Azure Certified Architects</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AWS vs Azure UK</w:t>
      </w:r>
    </w:p>
    <w:p>
      <w:pPr>
        <w:spacing w:after="60" w:before="60"/>
      </w:pPr>
    </w:p>
    <w:p>
      <w:pPr>
        <w:pStyle w:val="Heading1"/>
        <w:spacing w:after="160" w:before="360"/>
      </w:pPr>
      <w:r>
        <w:rPr>
          <w:rFonts w:ascii="Arial" w:cs="Arial" w:eastAsia="Arial" w:hAnsi="Arial"/>
          <w:b/>
          <w:bCs/>
          <w:color w:val="0B1F3A"/>
          <w:sz w:val="40"/>
          <w:szCs w:val="40"/>
        </w:rPr>
        <w:t xml:space="preserve">AWS vs Azure for UK Businesses — Data Residency, NHS, GovTech &amp; Cost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AWS eu-west-2</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Azure UK South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 Data Residency</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NHS &amp; Gov Preference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 Pricing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Cloud Experts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Both AWS eu-west-2 (London) and Azure UK South/West satisfy UK GDPR data residency requirements. The choice comes down to: your existing technology stack (Microsoft-heavy organisations benefit from Azure integration), your sector (NHS England uses Azure Landing Zones; many FinTechs prefer AWS), cost at your specific usage level, and the specific managed services you need. ClickMasters is certified on both and recommends based on your requirements — not on preference or commission.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Comprehensive Comparison — AWS vs Azure for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33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AWS (eu-west-2 London)</w:t>
            </w:r>
          </w:p>
        </w:tc>
        <w:tc>
          <w:tcPr>
            <w:tcW w:type="dxa" w:w="33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Azure (UK South &amp; UK West)</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Data Centre Location</w:t>
            </w:r>
          </w:p>
        </w:tc>
        <w:tc>
          <w:tcPr>
            <w:tcW w:type="dxa" w:w="33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eu-west-2 = London | eu-west-1 = Ireland (DR)</w:t>
            </w:r>
          </w:p>
        </w:tc>
        <w:tc>
          <w:tcPr>
            <w:tcW w:type="dxa" w:w="33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 South = London | UK West = Cardiff</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Data Residency</w:t>
            </w:r>
          </w:p>
        </w:tc>
        <w:tc>
          <w:tcPr>
            <w:tcW w:type="dxa" w:w="33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All core services in eu-west-2</w:t>
            </w:r>
          </w:p>
        </w:tc>
        <w:tc>
          <w:tcPr>
            <w:tcW w:type="dxa" w:w="33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All core services in UK South/West</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 HealthTech Preference</w:t>
            </w:r>
          </w:p>
        </w:tc>
        <w:tc>
          <w:tcPr>
            <w:tcW w:type="dxa" w:w="33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Used by many NHS Digital workloads</w:t>
            </w:r>
          </w:p>
        </w:tc>
        <w:tc>
          <w:tcPr>
            <w:tcW w:type="dxa" w:w="33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NHS England Azure Landing Zone standard; strong DSPT integration</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Central Government Preference</w:t>
            </w:r>
          </w:p>
        </w:tc>
        <w:tc>
          <w:tcPr>
            <w:tcW w:type="dxa" w:w="33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Used by HMRC, DWP, Cabinet Office workloads</w:t>
            </w:r>
          </w:p>
        </w:tc>
        <w:tc>
          <w:tcPr>
            <w:tcW w:type="dxa" w:w="33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Widely used across government; strong Microsoft 365 integration</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Microsoft 365 Integration</w:t>
            </w:r>
          </w:p>
        </w:tc>
        <w:tc>
          <w:tcPr>
            <w:tcW w:type="dxa" w:w="33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Limited (via Graph API)</w:t>
            </w:r>
          </w:p>
        </w:tc>
        <w:tc>
          <w:tcPr>
            <w:tcW w:type="dxa" w:w="33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Native — Azure AD/Entra ID, Teams, SharePoint, Dynamics 365</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Compute (EC2 / VMs)</w:t>
            </w:r>
          </w:p>
        </w:tc>
        <w:tc>
          <w:tcPr>
            <w:tcW w:type="dxa" w:w="33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 EC2 — market-leading maturity</w:t>
            </w:r>
          </w:p>
        </w:tc>
        <w:tc>
          <w:tcPr>
            <w:tcW w:type="dxa" w:w="33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Azure VMs — comparable maturity, good for Windows workloads</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Kubernetes</w:t>
            </w:r>
          </w:p>
        </w:tc>
        <w:tc>
          <w:tcPr>
            <w:tcW w:type="dxa" w:w="33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 EKS — mature, wide UK adoption</w:t>
            </w:r>
          </w:p>
        </w:tc>
        <w:tc>
          <w:tcPr>
            <w:tcW w:type="dxa" w:w="33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Azure AKS — strong enterprise support, good cost tooling</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Serverless</w:t>
            </w:r>
          </w:p>
        </w:tc>
        <w:tc>
          <w:tcPr>
            <w:tcW w:type="dxa" w:w="33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 Lambda — most mature FaaS globally</w:t>
            </w:r>
          </w:p>
        </w:tc>
        <w:tc>
          <w:tcPr>
            <w:tcW w:type="dxa" w:w="33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Azure Functions — strong .NET support, good Python/Node.js</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Database (managed)</w:t>
            </w:r>
          </w:p>
        </w:tc>
        <w:tc>
          <w:tcPr>
            <w:tcW w:type="dxa" w:w="33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 RDS (PostgreSQL, MySQL, Aurora)</w:t>
            </w:r>
          </w:p>
        </w:tc>
        <w:tc>
          <w:tcPr>
            <w:tcW w:type="dxa" w:w="33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Azure SQL (SQL Server), Azure Database for PostgreSQL</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AI/ML Services</w:t>
            </w:r>
          </w:p>
        </w:tc>
        <w:tc>
          <w:tcPr>
            <w:tcW w:type="dxa" w:w="33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Amazon SageMaker, Bedrock (GPT-4 via Bedrock)</w:t>
            </w:r>
          </w:p>
        </w:tc>
        <w:tc>
          <w:tcPr>
            <w:tcW w:type="dxa" w:w="33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Azure OpenAI Service (GPT-4 direct) — NHS AI preferred</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CDN</w:t>
            </w:r>
          </w:p>
        </w:tc>
        <w:tc>
          <w:tcPr>
            <w:tcW w:type="dxa" w:w="33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CloudFront — do NOT cache personal data</w:t>
            </w:r>
          </w:p>
        </w:tc>
        <w:tc>
          <w:tcPr>
            <w:tcW w:type="dxa" w:w="33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Azure CDN / Front Door — do NOT cache personal data</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Cost (general)</w:t>
            </w:r>
          </w:p>
        </w:tc>
        <w:tc>
          <w:tcPr>
            <w:tcW w:type="dxa" w:w="33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Marginally lower for compute-heavy workloads</w:t>
            </w:r>
          </w:p>
        </w:tc>
        <w:tc>
          <w:tcPr>
            <w:tcW w:type="dxa" w:w="33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Competitive; Microsoft BYOL benefits for existing licences</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Default For</w:t>
            </w:r>
          </w:p>
        </w:tc>
        <w:tc>
          <w:tcPr>
            <w:tcW w:type="dxa" w:w="33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B2C SaaS, FinTech, eCommerce, API-heavy startups</w:t>
            </w:r>
          </w:p>
        </w:tc>
        <w:tc>
          <w:tcPr>
            <w:tcW w:type="dxa" w:w="33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Enterprise, NHS/Gov, Microsoft-stack businesses, Windows workloads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GDPR Data Residency — Practical Guidance for Both Clouds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Both clouds satisfy UK GDPR data residency when correctly configured. Common mistakes that create compliance risk:</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CDN edge nodes: CloudFront (AWS) and Azure CDN edge nodes are distributed globally. Do NOT store personal data in CDN caches — serve static assets only.</w:t>
      </w:r>
    </w:p>
    <w:p>
      <w:pPr>
        <w:pStyle w:val="ListParagraph"/>
        <w:numPr>
          <w:ilvl w:val="0"/>
          <w:numId w:val="2"/>
        </w:numPr>
        <w:spacing w:after="60" w:before="60"/>
      </w:pPr>
      <w:r>
        <w:rPr>
          <w:rFonts w:ascii="Arial" w:cs="Arial" w:eastAsia="Arial" w:hAnsi="Arial"/>
          <w:b w:val="false"/>
          <w:bCs w:val="false"/>
          <w:color w:val="1A2332"/>
          <w:sz w:val="22"/>
          <w:szCs w:val="22"/>
        </w:rPr>
        <w:t xml:space="preserve">AI/ML services: Not all AI/ML services are available in UK regions. Amazon Bedrock model availability varies by region; Azure OpenAI has expanded UK South availability but check specific model availability.</w:t>
      </w:r>
    </w:p>
    <w:p>
      <w:pPr>
        <w:pStyle w:val="ListParagraph"/>
        <w:numPr>
          <w:ilvl w:val="0"/>
          <w:numId w:val="2"/>
        </w:numPr>
        <w:spacing w:after="60" w:before="60"/>
      </w:pPr>
      <w:r>
        <w:rPr>
          <w:rFonts w:ascii="Arial" w:cs="Arial" w:eastAsia="Arial" w:hAnsi="Arial"/>
          <w:b w:val="false"/>
          <w:bCs w:val="false"/>
          <w:color w:val="1A2332"/>
          <w:sz w:val="22"/>
          <w:szCs w:val="22"/>
        </w:rPr>
        <w:t xml:space="preserve">Logging services: CloudTrail and Azure Monitor logs may be stored in a different region by default. Configure log destinations explicitly to UK regions.</w:t>
      </w:r>
    </w:p>
    <w:p>
      <w:pPr>
        <w:pStyle w:val="ListParagraph"/>
        <w:numPr>
          <w:ilvl w:val="0"/>
          <w:numId w:val="2"/>
        </w:numPr>
        <w:spacing w:after="60" w:before="60"/>
      </w:pPr>
      <w:r>
        <w:rPr>
          <w:rFonts w:ascii="Arial" w:cs="Arial" w:eastAsia="Arial" w:hAnsi="Arial"/>
          <w:b w:val="false"/>
          <w:bCs w:val="false"/>
          <w:color w:val="1A2332"/>
          <w:sz w:val="22"/>
          <w:szCs w:val="22"/>
        </w:rPr>
        <w:t xml:space="preserve">Cross-region replication for DR: Using Ireland (eu-west-1) as AWS DR target is valid — Ireland has UK adequacy. Using US-east-1 for DR constitutes an international transfer requiring IDTA.</w:t>
      </w:r>
    </w:p>
    <w:p>
      <w:pPr>
        <w:pStyle w:val="ListParagraph"/>
        <w:numPr>
          <w:ilvl w:val="0"/>
          <w:numId w:val="2"/>
        </w:numPr>
        <w:spacing w:after="60" w:before="60"/>
      </w:pPr>
      <w:r>
        <w:rPr>
          <w:rFonts w:ascii="Arial" w:cs="Arial" w:eastAsia="Arial" w:hAnsi="Arial"/>
          <w:b w:val="false"/>
          <w:bCs w:val="false"/>
          <w:color w:val="1A2332"/>
          <w:sz w:val="22"/>
          <w:szCs w:val="22"/>
        </w:rPr>
        <w:t xml:space="preserve">Third-party services: Any third-party SaaS integrated with your AWS/Azure environment (Datadog, PagerDuty, Atlassian) may process logs or alerts containing personal data outside the UK — requiring transfer safeguards.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NHS and Government Cloud — Which to Choose</w:t>
            </w:r>
          </w:p>
        </w:tc>
      </w:tr>
    </w:tbl>
    <w:p>
      <w:pPr>
        <w:spacing w:after="60" w:before="60"/>
      </w:pPr>
    </w:p>
    <w:p>
      <w:pPr>
        <w:spacing w:after="160" w:before="100"/>
      </w:pPr>
      <w:r>
        <w:rPr>
          <w:rFonts w:ascii="Arial" w:cs="Arial" w:eastAsia="Arial" w:hAnsi="Arial"/>
          <w:b/>
          <w:bCs/>
          <w:i w:val="false"/>
          <w:iCs w:val="false"/>
          <w:color w:val="1A4A8A"/>
          <w:sz w:val="22"/>
          <w:szCs w:val="22"/>
        </w:rPr>
        <w:t xml:space="preserve">NHS England: </w:t>
      </w:r>
    </w:p>
    <w:p>
      <w:pPr>
        <w:spacing w:after="160" w:before="100"/>
        <w:jc w:val="left"/>
      </w:pPr>
      <w:r>
        <w:rPr>
          <w:rFonts w:ascii="Arial" w:cs="Arial" w:eastAsia="Arial" w:hAnsi="Arial"/>
          <w:b w:val="false"/>
          <w:bCs w:val="false"/>
          <w:i w:val="false"/>
          <w:iCs w:val="false"/>
          <w:color w:val="1A2332"/>
          <w:sz w:val="22"/>
          <w:szCs w:val="22"/>
        </w:rPr>
        <w:t xml:space="preserve">NHS England has standardised on Azure Landing Zones for new deployments. NHS Digital workloads historically used a mix, but Azure is the strategic direction. Azure Active Directory (now Entra ID) integrates with NHS smartcard authentication. NHS Login uses OIDC — cloud-agnostic. DSP Toolkit compliance is supported on both platforms.</w:t>
      </w:r>
    </w:p>
    <w:p>
      <w:pPr>
        <w:spacing w:after="60" w:before="60"/>
      </w:pPr>
    </w:p>
    <w:p>
      <w:pPr>
        <w:spacing w:after="160" w:before="100"/>
      </w:pPr>
      <w:r>
        <w:rPr>
          <w:rFonts w:ascii="Arial" w:cs="Arial" w:eastAsia="Arial" w:hAnsi="Arial"/>
          <w:b/>
          <w:bCs/>
          <w:i w:val="false"/>
          <w:iCs w:val="false"/>
          <w:color w:val="1A4A8A"/>
          <w:sz w:val="22"/>
          <w:szCs w:val="22"/>
        </w:rPr>
        <w:t xml:space="preserve">Central Government (HMRC, DWP, MOJ, MOD): </w:t>
      </w:r>
    </w:p>
    <w:p>
      <w:pPr>
        <w:spacing w:after="160" w:before="100"/>
        <w:jc w:val="left"/>
      </w:pPr>
      <w:r>
        <w:rPr>
          <w:rFonts w:ascii="Arial" w:cs="Arial" w:eastAsia="Arial" w:hAnsi="Arial"/>
          <w:b w:val="false"/>
          <w:bCs w:val="false"/>
          <w:i w:val="false"/>
          <w:iCs w:val="false"/>
          <w:color w:val="1A2332"/>
          <w:sz w:val="22"/>
          <w:szCs w:val="22"/>
        </w:rPr>
        <w:t xml:space="preserve">A mix of both clouds exists across government. HMRC uses AWS heavily for Making Tax Digital infrastructure. MOD uses Azure for Office 365 integration. G-Cloud procurement supports both. The Crown Hosting Data Centres (IL3/IL4) are separate from public cloud for classified workloads.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AWS vs Azure UK</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I switch from AWS to Azure (or vice versa) mid-project?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Switching cloud providers mid-project is expensive and disruptive. It should be planned from the outset. ClickMasters uses Terraform IaC on both platforms — infrastructure defined in code means the architecture is documented and theoretically portable. In practice, serverless functions (Lambda vs Functions), managed databases (RDS vs Azure SQL), and AI services (SageMaker vs Azure ML) have different APIs and migration cost is real. Design for cloud-agnosticism if you're genuinely unsure.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Which cloud is cheaper for a typical UK startup?</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At startup scale (under £2,000/month cloud spend), the difference is negligible. AWS typically wins for compute-intensive workloads at scale. Azure can be more cost-effective for organisations with existing Microsoft licensing (Windows Server BYOL, Visual Studio subscriptions). Both clouds offer startup credit programmes — AWS Activate and Microsoft for Startups — worth pursuing for early-stage companies.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both AWS and Azure support UK GDPR compliance documentation?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Both clouds provide: Data Processing Agreements (DPAs) that meet Article 28 UK GDPR requirements, compliance documentation (ISO 27001 certification, Cyber Essentials alignment documentation, SOC 2 reports), and tools to support your own UK GDPR compliance (AWS CloudTrail/Azure Monitor for audit logging, AWS KMS/Azure Key Vault for encryption key management).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Cloud-Native Development UK: /cloud-native-development/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AWS Cloud Migration UK: /aws-cloud-migration/</w:t>
      </w:r>
    </w:p>
    <w:p>
      <w:pPr>
        <w:pStyle w:val="ListParagraph"/>
        <w:numPr>
          <w:ilvl w:val="0"/>
          <w:numId w:val="3"/>
        </w:numPr>
        <w:spacing w:after="60" w:before="60"/>
      </w:pPr>
      <w:r>
        <w:rPr>
          <w:rFonts w:ascii="Arial" w:cs="Arial" w:eastAsia="Arial" w:hAnsi="Arial"/>
          <w:b w:val="false"/>
          <w:bCs w:val="false"/>
          <w:color w:val="1A2332"/>
          <w:sz w:val="22"/>
          <w:szCs w:val="22"/>
        </w:rPr>
        <w:t xml:space="preserve">Azure Cloud Services UK: /azure-cloud-services/</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Data Residency: /data-residency-uk-gdpr/</w:t>
      </w:r>
    </w:p>
    <w:p>
      <w:pPr>
        <w:pStyle w:val="ListParagraph"/>
        <w:numPr>
          <w:ilvl w:val="0"/>
          <w:numId w:val="3"/>
        </w:numPr>
        <w:spacing w:after="60" w:before="60"/>
      </w:pPr>
      <w:r>
        <w:rPr>
          <w:rFonts w:ascii="Arial" w:cs="Arial" w:eastAsia="Arial" w:hAnsi="Arial"/>
          <w:b w:val="false"/>
          <w:bCs w:val="false"/>
          <w:color w:val="1A2332"/>
          <w:sz w:val="22"/>
          <w:szCs w:val="22"/>
        </w:rPr>
        <w:t xml:space="preserve">DevOps &amp; CI/CD UK: /devops-cicd/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Cloud Architecture Consultation</w:t>
            </w:r>
          </w:p>
          <w:p>
            <w:pPr>
              <w:spacing w:after="160" w:before="0"/>
            </w:pPr>
            <w:r>
              <w:rPr>
                <w:rFonts w:ascii="Arial" w:cs="Arial" w:eastAsia="Arial" w:hAnsi="Arial"/>
                <w:color w:val="BDD0E8"/>
                <w:sz w:val="22"/>
                <w:szCs w:val="22"/>
              </w:rPr>
              <w:t xml:space="preserve">AWS or Azure certified engineer — free consultation on cloud architecture, data residency, and UK GDPR compliance.</w:t>
            </w:r>
          </w:p>
          <w:p>
            <w:pPr>
              <w:spacing w:after="0" w:before="0"/>
            </w:pPr>
            <w:r>
              <w:rPr>
                <w:rFonts w:ascii="Arial" w:cs="Arial" w:eastAsia="Arial" w:hAnsi="Arial"/>
                <w:b/>
                <w:bCs/>
                <w:color w:val="E8612A"/>
                <w:sz w:val="22"/>
                <w:szCs w:val="22"/>
              </w:rPr>
              <w:t xml:space="preserve">→ Book Free Cloud Consultation: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Cloud Architecture Team</w:t>
            </w:r>
          </w:p>
          <w:p>
            <w:pPr>
              <w:spacing w:after="80" w:before="0"/>
            </w:pPr>
            <w:r>
              <w:rPr>
                <w:rFonts w:ascii="Arial" w:cs="Arial" w:eastAsia="Arial" w:hAnsi="Arial"/>
                <w:b/>
                <w:bCs/>
                <w:color w:val="E8612A"/>
                <w:sz w:val="20"/>
                <w:szCs w:val="20"/>
              </w:rPr>
              <w:t xml:space="preserve">AWS &amp; Azure Certified — UK data residency and NHS cloud specialists</w:t>
            </w:r>
          </w:p>
          <w:p>
            <w:pPr>
              <w:spacing w:after="0" w:before="0"/>
            </w:pPr>
            <w:r>
              <w:rPr>
                <w:rFonts w:ascii="Arial" w:cs="Arial" w:eastAsia="Arial" w:hAnsi="Arial"/>
                <w:color w:val="1A2332"/>
                <w:sz w:val="20"/>
                <w:szCs w:val="20"/>
              </w:rPr>
              <w:t xml:space="preserve">ClickMasters architects are certified on both AWS and Azure. We have implemented cloud-native platforms on both for UK FinTech, HealthTech, and GovTech clients.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BreadcrumbList | "aws vs azure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2026-05-21T06:47:57.898Z</dcterms:created>
  <dcterms:modified xsi:type="dcterms:W3CDTF">2026-05-21T06:47:57.898Z</dcterms:modified>
</cp:coreProperties>
</file>

<file path=docProps/custom.xml><?xml version="1.0" encoding="utf-8"?>
<Properties xmlns="http://schemas.openxmlformats.org/officeDocument/2006/custom-properties" xmlns:vt="http://schemas.openxmlformats.org/officeDocument/2006/docPropsVTypes"/>
</file>