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Query vs SWR vs Apollo Client — UK Data Fetching (2026) | ClickMasters
META DESC: TanStack Query (React Query v5) is the UK default for data fetching in React applications: most comprehensive (server state, caching, background refetch, pagina
SLUG: /react-query-vs-swr-vs-apollo-uk-2026/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Query vs SWR vs Apollo Client — UK Data Fetching (2026)</w:t>
      </w:r>
    </w:p>
    <w:p>
      <w:pPr>
        <w:spacing w:after="60" w:before="60"/>
      </w:pPr>
    </w:p>
    <w:p>
      <w:pPr>
        <w:pStyle w:val="Heading1"/>
        <w:spacing w:after="160" w:before="360"/>
      </w:pPr>
      <w:r>
        <w:rPr>
          <w:rFonts w:ascii="Arial" w:cs="Arial" w:eastAsia="Arial" w:hAnsi="Arial"/>
          <w:b/>
          <w:bCs/>
          <w:color w:val="0B1F3A"/>
          <w:sz w:val="40"/>
          <w:szCs w:val="40"/>
        </w:rPr>
        <w:t xml:space="preserve">TanStack Query (React Query) vs SWR vs Apollo Client — UK Data Fetching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TanStack Query (React Query v5) is the UK default for data fetching in React applications: most comprehensive (server state, caching, background refetch, pagination, infinite scroll, optimistic updates), framework-agnostic (works with REST, tRPC, GraphQL), and the most widely used in UK production. SWR is right for simpler use cases where React Query's full feature set is unnecessary. Apollo Client is right exclusively for GraphQL applications.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Data fetching library choice affects UK GDPR personal data caching behaviour, developer productivity, and loading state management.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TanStack Query vs SWR vs Apollo Client — UK Data Fetching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TanStack Query (React Query v5)</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SWR</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Apollo Client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caching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Fine-grained cache invalidation — personal data can be purged per-key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Cache key control — manual invalidation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Apollo cache normalisation — complex personal data management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Works with REST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fetch wrapper + query function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fetcher function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designed for REST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Works with tRPC</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tRPC React Query integration — native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adapter</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designed for tRPC</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Works with GraphQL</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Via custom fetcher</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Via custom fetcher</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built for GraphQL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Optimistic updates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 — useMutation with rollback</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implementation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 for GraphQL</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Infinite scroll / pagination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useInfiniteQuery — built-in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implementation</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fetchMore —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Background refetch (stale-while-revalidate)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Configurable staleTime, refetchInterval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Core feature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Bundle size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(~45KB)</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Small (~14KB)</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 (~70KB) — worth it only for GraphQL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UK React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data fetching (&lt; 5 endpoints)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GraphQL-only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React Query handle UK GDPR personal data caching?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React Query caches personal data in memory — UK GDPR considerations: (1) data is only cached while the React application is running (memory cache — not localStorage), (2) on logout: queryClient.clear() removes all cached personal data from memory, (3) staleTime configuration: set staleTime appropriately for personal data sensitivity (NHS patient data: staleTime: 0 — always fresh, never stale), (4) queryClient.invalidateQueries() on any data change — cached personal data invalidated immediately when underlying data changes. UK GDPR Article 25: do not use React Query as a long-term cache for personal data — it is an application-layer optimisation, not a data store. ClickMasters configures logout cleanup and appropriate staleTime for all NHS and FCA applications.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UK projects use SWR or React Query?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TanStack Query (React Query) is the right choice for most UK applications because: (1) UK enterprise applications typically have complex data fetching requirements (pagination, optimistic updates, background refetch) that SWR requires manual implementation for, (2) tRPC integration is native in React Query — if you use tRPC, use React Query, (3) NHS and FCA regulated applications benefit from React Query's explicit cache management (queryClient.invalidateQueries, queryClient.clear on logout). SWR is appropriate when: the application has simple data fetching (read-only, no mutations, few endpoints) and bundle size is critical (SWR is 14KB vs React Query 45KB). ClickMasters has not used SWR on a regulated UK project since 2022.</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color w:val="1A4A8A"/>
          <w:sz w:val="22"/>
          <w:szCs w:val="22"/>
        </w:rPr>
        <w:t xml:space="preserve">TypeScript vs JavaScript UK: /typescript-vs-javascript-uk/</w:t>
      </w:r>
    </w:p>
    <w:p>
      <w:pPr>
        <w:pStyle w:val="ListParagraph"/>
        <w:numPr>
          <w:ilvl w:val="0"/>
          <w:numId w:val="2"/>
        </w:numPr>
        <w:spacing w:after="60" w:before="60"/>
      </w:pPr>
      <w:r>
        <w:rPr>
          <w:rFonts w:ascii="Arial" w:cs="Arial" w:eastAsia="Arial" w:hAnsi="Arial"/>
          <w:color w:val="1A4A8A"/>
          <w:sz w:val="22"/>
          <w:szCs w:val="22"/>
        </w:rPr>
        <w:t xml:space="preserve">UK SaaS Architecture Guide: /uk-saas-architecture-guide/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"react query vs swr vs apollo client uk data fetching"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2026-06-05T06:36:20.840Z</dcterms:created>
  <dcterms:modified xsi:type="dcterms:W3CDTF">2026-06-05T06:36:20.840Z</dcterms:modified>
</cp:coreProperties>
</file>

<file path=docProps/custom.xml><?xml version="1.0" encoding="utf-8"?>
<Properties xmlns="http://schemas.openxmlformats.org/officeDocument/2006/custom-properties" xmlns:vt="http://schemas.openxmlformats.org/officeDocument/2006/docPropsVTypes"/>
</file>