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Frontend Developer in London | IR35-Compliant | ClickMasters
META DESC: Hire a vetted Frontend Developer in London. IR35-compliant (our engineers are employees — zero IR35 liability). £4,500/mo–£8,000/mo/month. UK right-to-work verified. 3-stage vetting. Free consultation.
SLUG: /hire-frontend-developer-london/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Frontend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Frontend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Frontend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£4,500/mo–£8,000/mo/mo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Frontend Developers for businesses in London and across London. Our Frontend Developers are ClickMasters employees — not contractors — meaning zero IR35 liability for your business. No Status Determination Statement required. No HMRC risk. Rates from £4,500/mo/month for mid-level through £8,000/mo/month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Frontend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UI component build (live coding), accessibility review (WCAG 2.1 manual check), performance audit (Core Web Vitals), Fig...</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Frontend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Strong demand with React/TypeScript. WCAG 2.1 accessibility expertise commands significant premium — legally required under PSBAR for public sector. CSS-in-JS vs Tailwind debate often asked in interview.</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Frontend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Frontend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TypeScript, Next.js, CSS/Tailwind, accessibility (WCAG 2.1), performance optimisation, Figma</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 18, TypeScript, Next.js, Tailwind CSS, Storybook, Cypress, Lighthouse</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UI component build (live coding), accessibility review (WCAG 2.1 manual check), performance audit (Core Web Vitals), Figma-to-code translation, responsive design challenge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Frontend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Frontend Developer completes a 2–3 hour technical assessment designed by ClickMasters senior engineers. The assessment is practical — not algorithmic puzzles. It covers: UI component build (live coding), accessibility review (WCAG 2.1 manual check), performance audit (Core Web Vitals), Figma-to-code translation, responsive design challenge.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Frontend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Frontend developers — project-based UI builds with defined deliverables support outside IR35. ClickMasters model removes IR35 risk.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Frontend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Frontend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Frontend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Frontend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Frontend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Frontend Developers to client sector context. For London clients in FinTech, HealthTech, eCommerce, Media, GovTech, we assess: sector-specific experience (regulated sectors require specific knowledge), relevant compliance awareness (WCAG 2.1 for public sector),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Frontend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Frontend Developer UK (all cities): /hire-frontend-developer/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Frontend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Frontend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Frontend Developers specialists — IR35-safe, UK-verified, 3-stage vetted</w:t>
            </w:r>
          </w:p>
          <w:p>
            <w:pPr>
              <w:spacing w:after="0" w:before="0"/>
            </w:pPr>
            <w:r>
              <w:rPr>
                <w:rFonts w:ascii="Arial" w:cs="Arial" w:eastAsia="Arial" w:hAnsi="Arial"/>
                <w:color w:val="1A2332"/>
                <w:sz w:val="20"/>
                <w:szCs w:val="20"/>
              </w:rPr>
              <w:t xml:space="preserve">ClickMasters has placed Frontend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frontend developer london" (100/mo) | JobPosting schema: title="Frontend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2026-05-21T06:33:44.039Z</dcterms:created>
  <dcterms:modified xsi:type="dcterms:W3CDTF">2026-05-21T06:33:44.039Z</dcterms:modified>
</cp:coreProperties>
</file>

<file path=docProps/custom.xml><?xml version="1.0" encoding="utf-8"?>
<Properties xmlns="http://schemas.openxmlformats.org/officeDocument/2006/custom-properties" xmlns:vt="http://schemas.openxmlformats.org/officeDocument/2006/docPropsVTypes"/>
</file>