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Software Architect in London | IR35-Compliant | ClickMasters
META DESC: Hire a vetted Software Architect in London. IR35-compliant (our engineers are employees — zero IR35 liability). £7,000/mo–£12,000/mo/month. UK right-to-work verified. 3-stage vetting. Free consultation.
SLUG: /hire-software-architect-london/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London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Software Architect</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Software Architect London</w:t>
      </w:r>
    </w:p>
    <w:p>
      <w:pPr>
        <w:spacing w:after="60" w:before="60"/>
      </w:pPr>
    </w:p>
    <w:p>
      <w:pPr>
        <w:pStyle w:val="Heading1"/>
        <w:spacing w:after="160" w:before="360"/>
      </w:pPr>
      <w:r>
        <w:rPr>
          <w:rFonts w:ascii="Arial" w:cs="Arial" w:eastAsia="Arial" w:hAnsi="Arial"/>
          <w:b/>
          <w:bCs/>
          <w:color w:val="0B1F3A"/>
          <w:sz w:val="40"/>
          <w:szCs w:val="40"/>
        </w:rPr>
        <w:t xml:space="preserve">Hire a Senior Software Architect in London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£7,000/mo–£12,000/mo/mo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Software Architects for businesses in London and across London. Our Software Architects are ClickMasters employees — not contractors — meaning zero IR35 liability for your business. No Status Determination Statement required. No HMRC risk. Rates from £7,000/mo/month for mid-level through £12,000/mo/month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 for Software Architects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has the deepest software engineering talent pool in the UK — 400,000+ technology workers across Silicon Roundabout (Old Street/Shoreditch), the City (FinTech), West London (media/eCommerce), and Canary Wharf (financial services). London rates run 20–30% above UK average. Competition for senior engineers is intense.</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Architecture review and critique of existing system, greenfield architecture design challenge, Domain-Driven Design know...</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available anywhere in Greater London.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Software Architect Rates in London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20–30% above UK average note: Premium role, very limited supply. UK businesses often confuse "senior developer" with "software architect" — a true architect can design for non-functional requirements (scale, security, compliance) not just functional ones.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£530/day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£680/day/day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£145,000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Software Architects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Software Architect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System design, microservices, domain-driven design, API design, cloud architecture, security architecture, UK GDPR compliance architecture, team leadership</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Cloud-agnostic, domain-specific technology decisions, Architecture Decision Records (ADRs), C4 model diagrams</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Architecture review and critique of existing system, greenfield architecture design challenge, Domain-Driven Design knowledge, UK GDPR architecture (privacy by design), technology decision framework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Software Architects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Software Architect completes a 2–3 hour technical assessment designed by ClickMasters senior engineers. The assessment is practical — not algorithmic puzzles. It covers: Architecture review and critique of existing system, greenfield architecture design challenge, Domain-Driven Design knowledge, UK GDPR architecture (privacy by design), technology decision framework.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Software Architects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Architects frequently outside IR35 — specialised expertise, defined deliverables (architecture documentation), typically own methodology. ClickMasters employed model removes IR35 risk.</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Software Architect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Software Architect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London or remote-UK: typically 1–2 weeks from initial conversation to start date. For specialist Software Architect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Software Architect work on-site in our London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available anywhere in Greater London. Most London developers comfortable with Zone 1–3 commutes. Remote-first culture strong post-2020. Most of our London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Software Architects know the London market and FinTech, HealthTech, eCommerce, Media, GovTech?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Software Architects to client sector context. For London clients in FinTech, HealthTech, eCommerce, Media, GovTech, we assess: sector-specific experience (regulated sectors require specific knowledge), relevant compliance awareness (UK GDPR, Cyber Essentials),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Software Architect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Software Architect UK (all cities): /hire-software-architect/</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Software Architect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Software Architect in London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London Hiring Team</w:t>
            </w:r>
          </w:p>
          <w:p>
            <w:pPr>
              <w:spacing w:after="80" w:before="0"/>
            </w:pPr>
            <w:r>
              <w:rPr>
                <w:rFonts w:ascii="Arial" w:cs="Arial" w:eastAsia="Arial" w:hAnsi="Arial"/>
                <w:b/>
                <w:bCs/>
                <w:color w:val="E8612A"/>
                <w:sz w:val="20"/>
                <w:szCs w:val="20"/>
              </w:rPr>
              <w:t xml:space="preserve">Software Architects specialists — IR35-safe, UK-verified, 3-stage vetted</w:t>
            </w:r>
          </w:p>
          <w:p>
            <w:pPr>
              <w:spacing w:after="0" w:before="0"/>
            </w:pPr>
            <w:r>
              <w:rPr>
                <w:rFonts w:ascii="Arial" w:cs="Arial" w:eastAsia="Arial" w:hAnsi="Arial"/>
                <w:color w:val="1A2332"/>
                <w:sz w:val="20"/>
                <w:szCs w:val="20"/>
              </w:rPr>
              <w:t xml:space="preserve">ClickMasters has placed Software Architects with London businesses across FinTech, HealthTech, eCommerce, Media, GovTech.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software architect london" (100/mo) | JobPosting schema: title="Software Architect",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2026-05-21T06:33:44.093Z</dcterms:created>
  <dcterms:modified xsi:type="dcterms:W3CDTF">2026-05-21T06:33:44.093Z</dcterms:modified>
</cp:coreProperties>
</file>

<file path=docProps/custom.xml><?xml version="1.0" encoding="utf-8"?>
<Properties xmlns="http://schemas.openxmlformats.org/officeDocument/2006/custom-properties" xmlns:vt="http://schemas.openxmlformats.org/officeDocument/2006/docPropsVTypes"/>
</file>