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DevOps &amp; CI/CD for InsurTech UK | ClickMasters
META DESC: DevOps &amp; CI/CD for UK InsurTech. FCA ICOBS. £8,000–£55,000.
SLUG: /insurtech-devops-cicd/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August 2025  |  Reading time: 9 min  |  Written by: ClickMasters InsurTech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Industries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InsurTech Software</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DevOps &amp; CI/CD for InsurTech</w:t>
      </w:r>
    </w:p>
    <w:p>
      <w:pPr>
        <w:spacing w:after="60" w:before="60"/>
      </w:pPr>
    </w:p>
    <w:p>
      <w:pPr>
        <w:pStyle w:val="Heading1"/>
        <w:spacing w:after="160" w:before="360"/>
      </w:pPr>
      <w:r>
        <w:rPr>
          <w:rFonts w:ascii="Arial" w:cs="Arial" w:eastAsia="Arial" w:hAnsi="Arial"/>
          <w:b/>
          <w:bCs/>
          <w:color w:val="0B1F3A"/>
          <w:sz w:val="40"/>
          <w:szCs w:val="40"/>
        </w:rPr>
        <w:t xml:space="preserve">DevOps &amp; CI/CD for UK InsurTech — FCA ICOBS Built 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InsurTech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FCA ICOBS</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£8,000–£55,000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IR35-Safe</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DevOps &amp; CI/CD for UK InsurTech businesses with FCA ICOBS,  FCA PS21/3 compliance from Sprint 1.</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DevOps &amp; CI/CD for InsurTech — UK Specifics</w:t>
            </w:r>
          </w:p>
        </w:tc>
      </w:tr>
    </w:tbl>
    <w:p>
      <w:pPr>
        <w:spacing w:after="60" w:before="60"/>
      </w:pPr>
    </w:p>
    <w:p>
      <w:pPr>
        <w:spacing w:after="160" w:before="100"/>
      </w:pPr>
      <w:r>
        <w:rPr>
          <w:rFonts w:ascii="Arial" w:cs="Arial" w:eastAsia="Arial" w:hAnsi="Arial"/>
          <w:b/>
          <w:bCs/>
          <w:i w:val="false"/>
          <w:iCs w:val="false"/>
          <w:color w:val="E8612A"/>
          <w:sz w:val="22"/>
          <w:szCs w:val="22"/>
        </w:rPr>
        <w:t xml:space="preserve">FCA PS21/3 Operational Resilience in InsurTech CI/CD: </w:t>
      </w:r>
      <w:r>
        <w:rPr>
          <w:rFonts w:ascii="Arial" w:cs="Arial" w:eastAsia="Arial" w:hAnsi="Arial"/>
          <w:b w:val="false"/>
          <w:bCs w:val="false"/>
          <w:i w:val="false"/>
          <w:iCs w:val="false"/>
          <w:color w:val="1A2332"/>
          <w:sz w:val="22"/>
          <w:szCs w:val="22"/>
        </w:rPr>
        <w:t xml:space="preserve">FCA PS21/3 requires financial firms (including insurers and MGAs) to map Important Business Services to supporting technology and demonstrate resilience. InsurTech CI/CD operational resilience: deployment automation ensures zero-downtime deployments for policy-processing IBSs, health check monitoring detects degradation before Impact Tolerance is breached, automated rollback ensures service restoration within minutes not hours, and DR (Disaster Recovery) testing quarterly via automated runbook execution.</w:t>
      </w:r>
    </w:p>
    <w:p>
      <w:pPr>
        <w:spacing w:after="60" w:before="60"/>
      </w:pPr>
    </w:p>
    <w:p>
      <w:pPr>
        <w:spacing w:after="160" w:before="100"/>
      </w:pPr>
      <w:r>
        <w:rPr>
          <w:rFonts w:ascii="Arial" w:cs="Arial" w:eastAsia="Arial" w:hAnsi="Arial"/>
          <w:b/>
          <w:bCs/>
          <w:i w:val="false"/>
          <w:iCs w:val="false"/>
          <w:color w:val="E8612A"/>
          <w:sz w:val="22"/>
          <w:szCs w:val="22"/>
        </w:rPr>
        <w:t xml:space="preserve">InsurTech Claims Processing CI/CD: </w:t>
      </w:r>
      <w:r>
        <w:rPr>
          <w:rFonts w:ascii="Arial" w:cs="Arial" w:eastAsia="Arial" w:hAnsi="Arial"/>
          <w:b w:val="false"/>
          <w:bCs w:val="false"/>
          <w:i w:val="false"/>
          <w:iCs w:val="false"/>
          <w:color w:val="1A2332"/>
          <w:sz w:val="22"/>
          <w:szCs w:val="22"/>
        </w:rPr>
        <w:t xml:space="preserve">Claims processing is typically an FCA IBS (Important Business Service) — any interruption to claims handling has customer impact. CI/CD for claims: canary deployment (5% of claims traffic to new version for 30 minutes before full rollout), automated regression tests covering all claim types, synthetic transactions (automated test claims submitted every 5 minutes to verify claims processing end-to-end), and circuit breaker (automatically disable problematic integrations — Lloyd's Risk Exchange, MID — rather than causing cascading failures).</w:t>
      </w:r>
    </w:p>
    <w:p>
      <w:pPr>
        <w:spacing w:after="60" w:before="60"/>
      </w:pPr>
    </w:p>
    <w:p>
      <w:pPr>
        <w:spacing w:after="160" w:before="100"/>
      </w:pPr>
      <w:r>
        <w:rPr>
          <w:rFonts w:ascii="Arial" w:cs="Arial" w:eastAsia="Arial" w:hAnsi="Arial"/>
          <w:b/>
          <w:bCs/>
          <w:i w:val="false"/>
          <w:iCs w:val="false"/>
          <w:color w:val="E8612A"/>
          <w:sz w:val="22"/>
          <w:szCs w:val="22"/>
        </w:rPr>
        <w:t xml:space="preserve">PCI-DSS CI/CD for InsurTech Payment Processing: </w:t>
      </w:r>
      <w:r>
        <w:rPr>
          <w:rFonts w:ascii="Arial" w:cs="Arial" w:eastAsia="Arial" w:hAnsi="Arial"/>
          <w:b w:val="false"/>
          <w:bCs w:val="false"/>
          <w:i w:val="false"/>
          <w:iCs w:val="false"/>
          <w:color w:val="1A2332"/>
          <w:sz w:val="22"/>
          <w:szCs w:val="22"/>
        </w:rPr>
        <w:t xml:space="preserve">InsurTech premium collection: Stripe Elements (SAQ-A) or Adyen Drop-In integrated in CI/CD. Security scanning in CI/CD: OWASP ZAP (dynamic application security testing — quarterly DAST scan run as part of CI), Dependabot (dependency CVE monitoring), Trivy (container image scanning), and AWS Security Hub (infrastructure security posture monitoring). PCI-DSS ASV scan: automated quarterly external vulnerability scan (Tenable.io or Qualys) — CI/CD triggers scan before each major release to AWS production.</w:t>
      </w:r>
    </w:p>
    <w:p>
      <w:pPr>
        <w:spacing w:after="60" w:before="60"/>
      </w:pPr>
    </w:p>
    <w:p>
      <w:pPr>
        <w:spacing w:after="160" w:before="100"/>
      </w:pPr>
      <w:r>
        <w:rPr>
          <w:rFonts w:ascii="Arial" w:cs="Arial" w:eastAsia="Arial" w:hAnsi="Arial"/>
          <w:b/>
          <w:bCs/>
          <w:i w:val="false"/>
          <w:iCs w:val="false"/>
          <w:color w:val="E8612A"/>
          <w:sz w:val="22"/>
          <w:szCs w:val="22"/>
        </w:rPr>
        <w:t xml:space="preserve">Lloyd's Blueprint Digital Integration Testing: </w:t>
      </w:r>
      <w:r>
        <w:rPr>
          <w:rFonts w:ascii="Arial" w:cs="Arial" w:eastAsia="Arial" w:hAnsi="Arial"/>
          <w:b w:val="false"/>
          <w:bCs w:val="false"/>
          <w:i w:val="false"/>
          <w:iCs w:val="false"/>
          <w:color w:val="1A2332"/>
          <w:sz w:val="22"/>
          <w:szCs w:val="22"/>
        </w:rPr>
        <w:t xml:space="preserve">Lloyd's Market Association Digital Blueprint: Core Data Record (CDR) — structured placement data format. InsurTech platforms connecting to Lloyd's electronic placing must: validate CDR schema (JSON schema validation in CI/CD), test Lloyd's Risk Exchange API integration in Lloyd's sandbox environment (separate from production), and verify CDR completeness (all mandatory fields populated) before Lloyd's submission. ClickMasters maintains Lloyd's CDR schema validation as an automated CI/CD gate.</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Compliance: FCA ICOBS, FCA PS21/3, PCI-DSS, UK GDPR, Lloyd's Blueprint, Cyber Essentials Plus, ISO 27001</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Type</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Scope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Price</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InsurTech DevOps &amp; CI/CD</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Full engagement</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£8,000–£55,000</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Discovery</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Scoping</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£3,500–£8,000</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Retainer</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Ongoing support</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£2,000/mo</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deployment strategy should InsurTech companies use for policy-processing systems?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Blue-green deployment for InsurTech policy systems: two identical production environments (blue = current, green = new version). Traffic shifted from blue to green after automated smoke tests pass. If smoke tests fail: traffic stays on blue — zero customer impact. Rollback: shift traffic back to blue in &lt; 60 seconds. FCA PS21/3 Impact Tolerance for policy processing: typically 24–72 hours before regulatory notification required — blue-green ensures planned deployments do not approach this threshold.</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do we include Lloyd's CDR validation in our CI/CD pipeline?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Lloyd's CDR validation in CI/CD: JSON schema validation against published CDR schema (Lloyd's publishes CDR JSON Schema on their developer portal), required field completeness check, and Lloyd's sandbox API submission test (verify CDR accepted by Lloyd's ecosystem before production). ClickMasters writes CDR validation as a custom GitHub Actions step — failures block the pull request merge until CDR compliance is confirmed.</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InsurTech Software Development UK: /insurtech-software-development/</w:t>
      </w:r>
    </w:p>
    <w:p>
      <w:pPr>
        <w:pStyle w:val="ListParagraph"/>
        <w:numPr>
          <w:ilvl w:val="0"/>
          <w:numId w:val="2"/>
        </w:numPr>
        <w:spacing w:after="60" w:before="60"/>
      </w:pPr>
      <w:r>
        <w:rPr>
          <w:rFonts w:ascii="Arial" w:cs="Arial" w:eastAsia="Arial" w:hAnsi="Arial"/>
          <w:color w:val="1A4A8A"/>
          <w:sz w:val="22"/>
          <w:szCs w:val="22"/>
        </w:rPr>
        <w:t xml:space="preserve">DevOps &amp; CI/CD UK: /devops-cicd/</w:t>
      </w:r>
    </w:p>
    <w:p>
      <w:pPr>
        <w:pStyle w:val="ListParagraph"/>
        <w:numPr>
          <w:ilvl w:val="0"/>
          <w:numId w:val="2"/>
        </w:numPr>
        <w:spacing w:after="60" w:before="60"/>
      </w:pPr>
      <w:r>
        <w:rPr>
          <w:rFonts w:ascii="Arial" w:cs="Arial" w:eastAsia="Arial" w:hAnsi="Arial"/>
          <w:color w:val="1A4A8A"/>
          <w:sz w:val="22"/>
          <w:szCs w:val="22"/>
        </w:rPr>
        <w:t xml:space="preserve">FCA Software Compliance Guide: /fca-software-compliance-guide/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InsurTech DevOps &amp; CI/CD Consultation</w:t>
            </w:r>
          </w:p>
          <w:p>
            <w:pPr>
              <w:spacing w:after="160" w:before="0"/>
            </w:pPr>
            <w:r>
              <w:rPr>
                <w:rFonts w:ascii="Arial" w:cs="Arial" w:eastAsia="Arial" w:hAnsi="Arial"/>
                <w:color w:val="BDD0E8"/>
                <w:sz w:val="22"/>
                <w:szCs w:val="22"/>
              </w:rPr>
              <w:t xml:space="preserve">Free 45 minutes.</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InsurTech Team</w:t>
            </w:r>
          </w:p>
          <w:p>
            <w:pPr>
              <w:spacing w:after="80" w:before="0"/>
            </w:pPr>
            <w:r>
              <w:rPr>
                <w:rFonts w:ascii="Arial" w:cs="Arial" w:eastAsia="Arial" w:hAnsi="Arial"/>
                <w:b/>
                <w:bCs/>
                <w:color w:val="E8612A"/>
                <w:sz w:val="20"/>
                <w:szCs w:val="20"/>
              </w:rPr>
              <w:t xml:space="preserve">InsurTech specialists</w:t>
            </w:r>
          </w:p>
          <w:p>
            <w:pPr>
              <w:spacing w:after="0" w:before="0"/>
            </w:pPr>
            <w:r>
              <w:rPr>
                <w:rFonts w:ascii="Arial" w:cs="Arial" w:eastAsia="Arial" w:hAnsi="Arial"/>
                <w:color w:val="1A2332"/>
                <w:sz w:val="20"/>
                <w:szCs w:val="20"/>
              </w:rPr>
              <w:t xml:space="preserve">Delivering DevOps &amp; CI/CD for UK InsurTech businesses.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Service + FAQPage | "insurtech devops cicd uk"</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2026-05-31T03:00:00.517Z</dcterms:created>
  <dcterms:modified xsi:type="dcterms:W3CDTF">2026-05-31T03:00:00.517Z</dcterms:modified>
</cp:coreProperties>
</file>

<file path=docProps/custom.xml><?xml version="1.0" encoding="utf-8"?>
<Properties xmlns="http://schemas.openxmlformats.org/officeDocument/2006/custom-properties" xmlns:vt="http://schemas.openxmlformats.org/officeDocument/2006/docPropsVTypes"/>
</file>