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InsurTech UK | ClickMasters
META DESC: Legacy Modernisation for UK InsurTech. FCA ICOBS. £35,000–£200,000.
SLUG: /insurtech-legacy-modernisation/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InsurTech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InsurTech businesses with FCA ICOBS,  FCA PS21/3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InsurTech Legacy Platform Landscape: </w:t>
      </w:r>
      <w:r>
        <w:rPr>
          <w:rFonts w:ascii="Arial" w:cs="Arial" w:eastAsia="Arial" w:hAnsi="Arial"/>
          <w:b w:val="false"/>
          <w:bCs w:val="false"/>
          <w:i w:val="false"/>
          <w:iCs w:val="false"/>
          <w:color w:val="1A2332"/>
          <w:sz w:val="22"/>
          <w:szCs w:val="22"/>
        </w:rPr>
        <w:t xml:space="preserve">UK InsurTech legacy platforms commonly encountered: Guidewire (older versions — Java-based, UI modernisation needed), Duck Creek (older versions), OPUS (bespoke UK insurance administration platforms), Majesco legacy, and in-house built systems from 2000–2015 (often COBOL or early Java). FCA PS21/3 context: most InsurTech legacy systems have single points of failure — legacy modernisation is frequently driven by FCA operational resilience requirements rather than feature velocity alone.</w:t>
      </w:r>
    </w:p>
    <w:p>
      <w:pPr>
        <w:spacing w:after="60" w:before="60"/>
      </w:pPr>
    </w:p>
    <w:p>
      <w:pPr>
        <w:spacing w:after="160" w:before="100"/>
      </w:pPr>
      <w:r>
        <w:rPr>
          <w:rFonts w:ascii="Arial" w:cs="Arial" w:eastAsia="Arial" w:hAnsi="Arial"/>
          <w:b/>
          <w:bCs/>
          <w:i w:val="false"/>
          <w:iCs w:val="false"/>
          <w:color w:val="E8612A"/>
          <w:sz w:val="22"/>
          <w:szCs w:val="22"/>
        </w:rPr>
        <w:t xml:space="preserve">FCA PS21/3 Legacy Mapping and Modernisation Strategy: </w:t>
      </w:r>
      <w:r>
        <w:rPr>
          <w:rFonts w:ascii="Arial" w:cs="Arial" w:eastAsia="Arial" w:hAnsi="Arial"/>
          <w:b w:val="false"/>
          <w:bCs w:val="false"/>
          <w:i w:val="false"/>
          <w:iCs w:val="false"/>
          <w:color w:val="1A2332"/>
          <w:sz w:val="22"/>
          <w:szCs w:val="22"/>
        </w:rPr>
        <w:t xml:space="preserve">Before modernising legacy InsurTech systems: FCA PS21/3 Important Business Service mapping. Steps: (1) identify IBSs (policy administration, claims handling, premium payment), (2) map each IBS to supporting legacy components, (3) identify single points of failure in legacy architecture, (4) prioritise modernisation by PS21/3 impact (components creating IBS resilience risk first). Legacy modernisation without PS21/3 mapping is dangerous — replacing the wrong component first can increase risk before reducing it.</w:t>
      </w:r>
    </w:p>
    <w:p>
      <w:pPr>
        <w:spacing w:after="60" w:before="60"/>
      </w:pPr>
    </w:p>
    <w:p>
      <w:pPr>
        <w:spacing w:after="160" w:before="100"/>
      </w:pPr>
      <w:r>
        <w:rPr>
          <w:rFonts w:ascii="Arial" w:cs="Arial" w:eastAsia="Arial" w:hAnsi="Arial"/>
          <w:b/>
          <w:bCs/>
          <w:i w:val="false"/>
          <w:iCs w:val="false"/>
          <w:color w:val="E8612A"/>
          <w:sz w:val="22"/>
          <w:szCs w:val="22"/>
        </w:rPr>
        <w:t xml:space="preserve">Lloyd's Blueprint CDR Migration from Legacy: </w:t>
      </w:r>
      <w:r>
        <w:rPr>
          <w:rFonts w:ascii="Arial" w:cs="Arial" w:eastAsia="Arial" w:hAnsi="Arial"/>
          <w:b w:val="false"/>
          <w:bCs w:val="false"/>
          <w:i w:val="false"/>
          <w:iCs w:val="false"/>
          <w:color w:val="1A2332"/>
          <w:sz w:val="22"/>
          <w:szCs w:val="22"/>
        </w:rPr>
        <w:t xml:space="preserve">Lloyd's CDR migration: legacy InsurTech platforms were built before Lloyd's Digital Blueprint — CDR compliance requires structured risk placement data that legacy systems often cannot produce. Migration approach: (1) CDR data extraction from legacy (map legacy fields to CDR schema), (2) CDR validation service (validates extracted data against CDR JSON schema), (3) Lloyd's Risk Exchange API integration in new platform, (4) parallel running (old platform produces paper slips, new platform produces CDR — verify equivalence before cutover).</w:t>
      </w:r>
    </w:p>
    <w:p>
      <w:pPr>
        <w:spacing w:after="60" w:before="60"/>
      </w:pPr>
    </w:p>
    <w:p>
      <w:pPr>
        <w:spacing w:after="160" w:before="100"/>
      </w:pPr>
      <w:r>
        <w:rPr>
          <w:rFonts w:ascii="Arial" w:cs="Arial" w:eastAsia="Arial" w:hAnsi="Arial"/>
          <w:b/>
          <w:bCs/>
          <w:i w:val="false"/>
          <w:iCs w:val="false"/>
          <w:color w:val="E8612A"/>
          <w:sz w:val="22"/>
          <w:szCs w:val="22"/>
        </w:rPr>
        <w:t xml:space="preserve">Solvency II UK Data Quality in Legacy Migration: </w:t>
      </w:r>
      <w:r>
        <w:rPr>
          <w:rFonts w:ascii="Arial" w:cs="Arial" w:eastAsia="Arial" w:hAnsi="Arial"/>
          <w:b w:val="false"/>
          <w:bCs w:val="false"/>
          <w:i w:val="false"/>
          <w:iCs w:val="false"/>
          <w:color w:val="1A2332"/>
          <w:sz w:val="22"/>
          <w:szCs w:val="22"/>
        </w:rPr>
        <w:t xml:space="preserve">Solvency II UK QRT accuracy depends on data quality in the source system. Legacy InsurTech systems often have: inconsistent premium coding (multiple coding schemes in different transaction types), incomplete claims data (partial settlements not linked to original policy), and missing reinsurance data (manual outward RI not captured). Legacy migration must include a data cleansing programme — Solvency II QRT accuracy in the new system is only as good as the quality of migrated data.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FCA PS21/3, Solvency II UK, PCI-DSS, UK GDPR, Lloyd's Blueprint, Cyber Essentials Plus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InsurTech legacy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InsurTech legacy modernisation timeline: Technical Discovery and FCA PS21/3 mapping (4–6 weeks), architecture design (2–4 weeks), phased build — core policy administration module (12–20 weeks), claims module (8–14 weeks), Lloyd's CDR integration (4–8 weeks), Solvency II reporting (4–6 weeks), parallel running and cutover (4–8 weeks). Total: 36–60 weeks for a full InsurTech legacy modernisation. ClickMasters always conducts Technical Discovery (£3,500–£8,000 fixed price) before any commitment to timeline.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we modernise InsurTech systems without business disruption?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Strangler Fig pattern. New system receives all new policy business from Day 1. Legacy system manages run-off portfolio (existing policies to expiry). Gradual migration: renewing policies move to new system at each renewal date. Legacy decommissioned when last policy expires or renews onto new system. For Lloyd's placements: parallel CDR submission from new system — verified against legacy paper slip before legacy removed. Zero business disruption — no overnight cutover, no customer-facing change until ready.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Legacy Modernisation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2026-06-01T08:21:57.102Z</dcterms:created>
  <dcterms:modified xsi:type="dcterms:W3CDTF">2026-06-01T08:21:57.102Z</dcterms:modified>
</cp:coreProperties>
</file>

<file path=docProps/custom.xml><?xml version="1.0" encoding="utf-8"?>
<Properties xmlns="http://schemas.openxmlformats.org/officeDocument/2006/custom-properties" xmlns:vt="http://schemas.openxmlformats.org/officeDocument/2006/docPropsVTypes"/>
</file>