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InsurTech UK | ClickMasters
META DESC: Cloud-Native Development for UK InsurTech. FCA ICOBS. £30,000–£160,000.
SLUG: /insurtech-cloud-native-development/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InsurTech</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£30,000–£160,000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InsurTech businesses with FCA ICOBS,  FCA PS21/3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PS21/3 Insurance IBS Architecture: </w:t>
      </w:r>
      <w:r>
        <w:rPr>
          <w:rFonts w:ascii="Arial" w:cs="Arial" w:eastAsia="Arial" w:hAnsi="Arial"/>
          <w:b w:val="false"/>
          <w:bCs w:val="false"/>
          <w:i w:val="false"/>
          <w:iCs w:val="false"/>
          <w:color w:val="1A2332"/>
          <w:sz w:val="22"/>
          <w:szCs w:val="22"/>
        </w:rPr>
        <w:t xml:space="preserve">FCA PS21/3 for InsurTech: Important Business Services in insurance typically are: policy administration (customers can view and amend their policy), claims submission (customers can submit and track claims), and premium payment (customers can pay their premium). Cloud-native IBS architecture: each IBS deployed as an independent ECS Fargate service with dedicated Multi-AZ RDS. Policy administration service and claims service independent — claims service available even if policy admin service fails. Impact Tolerance: IBS disruption measured per service, not system-wide.</w:t>
      </w:r>
    </w:p>
    <w:p>
      <w:pPr>
        <w:spacing w:after="60" w:before="60"/>
      </w:pPr>
    </w:p>
    <w:p>
      <w:pPr>
        <w:spacing w:after="160" w:before="100"/>
      </w:pPr>
      <w:r>
        <w:rPr>
          <w:rFonts w:ascii="Arial" w:cs="Arial" w:eastAsia="Arial" w:hAnsi="Arial"/>
          <w:b/>
          <w:bCs/>
          <w:i w:val="false"/>
          <w:iCs w:val="false"/>
          <w:color w:val="E8612A"/>
          <w:sz w:val="22"/>
          <w:szCs w:val="22"/>
        </w:rPr>
        <w:t xml:space="preserve">Lloyd's CDR Cloud-Native API: </w:t>
      </w:r>
      <w:r>
        <w:rPr>
          <w:rFonts w:ascii="Arial" w:cs="Arial" w:eastAsia="Arial" w:hAnsi="Arial"/>
          <w:b w:val="false"/>
          <w:bCs w:val="false"/>
          <w:i w:val="false"/>
          <w:iCs w:val="false"/>
          <w:color w:val="1A2332"/>
          <w:sz w:val="22"/>
          <w:szCs w:val="22"/>
        </w:rPr>
        <w:t xml:space="preserve">Lloyd's Core Data Record cloud-native API: CDR submission is an event-driven process — policy bound in UWR system → CDR event published to SQS → CDR Builder Lambda (transforms internal data format to CDR JSON schema) → CDR Validator Lambda (validates against Lloyd's CDR JSON Schema specification) → Lloyd's Risk Exchange API submission. Retry logic: failed CDR submissions retried with exponential backoff (Lloyd's Risk Exchange has rate limits and periodic maintenance windows). CDR audit trail: all CDR submissions logged to immutable DynamoDB table (Lloyd's audit).</w:t>
      </w:r>
    </w:p>
    <w:p>
      <w:pPr>
        <w:spacing w:after="60" w:before="60"/>
      </w:pPr>
    </w:p>
    <w:p>
      <w:pPr>
        <w:spacing w:after="160" w:before="100"/>
      </w:pPr>
      <w:r>
        <w:rPr>
          <w:rFonts w:ascii="Arial" w:cs="Arial" w:eastAsia="Arial" w:hAnsi="Arial"/>
          <w:b/>
          <w:bCs/>
          <w:i w:val="false"/>
          <w:iCs w:val="false"/>
          <w:color w:val="E8612A"/>
          <w:sz w:val="22"/>
          <w:szCs w:val="22"/>
        </w:rPr>
        <w:t xml:space="preserve">Solvency II Cloud-Native Data Pipeline: </w:t>
      </w:r>
      <w:r>
        <w:rPr>
          <w:rFonts w:ascii="Arial" w:cs="Arial" w:eastAsia="Arial" w:hAnsi="Arial"/>
          <w:b w:val="false"/>
          <w:bCs w:val="false"/>
          <w:i w:val="false"/>
          <w:iCs w:val="false"/>
          <w:color w:val="1A2332"/>
          <w:sz w:val="22"/>
          <w:szCs w:val="22"/>
        </w:rPr>
        <w:t xml:space="preserve">Solvency II QRT data pipeline: underwriting system transactions → Kinesis Data Streams → Lambda (Solvency II ETL — transforms transaction data to QRT format) → S3 (Solvency II data lake, partitioned by reporting period) → Athena (QRT SQL queries) → Lambda (QRT XML generation per S3 template) → FCA Gabriel API (QRT submission). Data quality: automated validation checks before QRT generation (premium totals reconciled against accounting records, claims reserves validated against actuarial estimates). QRT generation time: 4 hours end-to-end (previously 5 days manual).</w:t>
      </w:r>
    </w:p>
    <w:p>
      <w:pPr>
        <w:spacing w:after="60" w:before="60"/>
      </w:pPr>
    </w:p>
    <w:p>
      <w:pPr>
        <w:spacing w:after="160" w:before="100"/>
      </w:pPr>
      <w:r>
        <w:rPr>
          <w:rFonts w:ascii="Arial" w:cs="Arial" w:eastAsia="Arial" w:hAnsi="Arial"/>
          <w:b/>
          <w:bCs/>
          <w:i w:val="false"/>
          <w:iCs w:val="false"/>
          <w:color w:val="E8612A"/>
          <w:sz w:val="22"/>
          <w:szCs w:val="22"/>
        </w:rPr>
        <w:t xml:space="preserve">InsurTech Multi-Cloud Strategy — AWS + Azure: </w:t>
      </w:r>
      <w:r>
        <w:rPr>
          <w:rFonts w:ascii="Arial" w:cs="Arial" w:eastAsia="Arial" w:hAnsi="Arial"/>
          <w:b w:val="false"/>
          <w:bCs w:val="false"/>
          <w:i w:val="false"/>
          <w:iCs w:val="false"/>
          <w:color w:val="1A2332"/>
          <w:sz w:val="22"/>
          <w:szCs w:val="22"/>
        </w:rPr>
        <w:t xml:space="preserve">Some InsurTech platforms require both AWS and Azure — AWS for application workloads (ECS Fargate, RDS) and Azure for Microsoft 365 integration (SharePoint policy documents, Teams claims communication, Power BI executive dashboards). Multi-cloud integration: Azure API Management (gateway for Microsoft 365 services) → AWS API Gateway (application services). Identity: Azure AD (staff authentication) federated with AWS Cognito (application identity) via SAML. Single pane of glass: unified CloudWatch + Azure Monitor dashboard for FCA PS21/3 availability monitoring.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FCA PS21/3, Solvency II UK, PCI-DSS, UK GDPR, Lloyd's Blueprint, Cyber Essentials Plus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£30,000–£160,000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InsurTech cloud-native architecture satisfy Solvency II UK QRT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has built Solvency II QRT data pipelines for UK Lloyd's syndicates and general insurers. Cloud-native Solvency II: Kinesis Data Streams captures all premium and claims transactions in real time, S3 data lake stores all transaction history, and Athena executes QRT queries against S3. QRT XML generated automatically from S3 data using Lambda and submitted to FCA Gabriel via API. Benefits: QRT generation from 5 days to 4 hours, data quality automated (reconciliation checks before generation), and full audit trail of all QRT submissions.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FCA PS21/3 apply to InsurTech cloud-native architecture?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PS21/3 requires InsurTechs to identify Important Business Services and define Impact Tolerances (how long each IBS can be unavailable before unacceptable harm). Cloud-native implementation: each IBS maps to an independent ECS Fargate service with its own Auto Scaling Group and RDS Multi-AZ. Impact Tolerance monitoring: CloudWatch alarms per IBS service (availability metric — if below 99.9% for &gt; 4 hours, FCA notification required). Quarterly testing: AWS Fault Injection Simulator simulates AZ failure for each IBS service — Impact Tolerance verified in test before production incident occurs.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FCA PS21/3 Compliance Guide UK: /fca-ps213-operational-resilience-guide/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Cloud-Native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Cloud-Native Development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cloud native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2026-06-02T07:09:30.920Z</dcterms:created>
  <dcterms:modified xsi:type="dcterms:W3CDTF">2026-06-02T07:09:30.920Z</dcterms:modified>
</cp:coreProperties>
</file>

<file path=docProps/custom.xml><?xml version="1.0" encoding="utf-8"?>
<Properties xmlns="http://schemas.openxmlformats.org/officeDocument/2006/custom-properties" xmlns:vt="http://schemas.openxmlformats.org/officeDocument/2006/docPropsVTypes"/>
</file>