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Staff Augmentation for EdTech UK | ClickMasters
META DESC: Staff Augmentation for UK EdTech. ICO AADC. from £5,000/month.
SLUG: /edtech-staff-augmentation/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November 2025  |  Reading time: 9 min  |  Written by: ClickMasters EdTech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EdTech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Staff Augmentation for EdTech</w:t>
      </w:r>
    </w:p>
    <w:p>
      <w:pPr>
        <w:spacing w:after="60" w:before="60"/>
      </w:pPr>
    </w:p>
    <w:p>
      <w:pPr>
        <w:pStyle w:val="Heading1"/>
        <w:spacing w:after="160" w:before="360"/>
      </w:pPr>
      <w:r>
        <w:rPr>
          <w:rFonts w:ascii="Arial" w:cs="Arial" w:eastAsia="Arial" w:hAnsi="Arial"/>
          <w:b/>
          <w:bCs/>
          <w:color w:val="0B1F3A"/>
          <w:sz w:val="40"/>
          <w:szCs w:val="40"/>
        </w:rPr>
        <w:t xml:space="preserve">Staff Augmentation for UK EdTech — ICO AADC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EdTech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ICO AADC</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£5,000/month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Staff Augmentation for UK EdTech businesses with ICO AADC,  UK GDPR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Staff Augmentation for EdTech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EdTech Specialist Engineer Profiles for Staff Augmentation: </w:t>
      </w:r>
      <w:r>
        <w:rPr>
          <w:rFonts w:ascii="Arial" w:cs="Arial" w:eastAsia="Arial" w:hAnsi="Arial"/>
          <w:b w:val="false"/>
          <w:bCs w:val="false"/>
          <w:i w:val="false"/>
          <w:iCs w:val="false"/>
          <w:color w:val="1A2332"/>
          <w:sz w:val="22"/>
          <w:szCs w:val="22"/>
        </w:rPr>
        <w:t xml:space="preserve">UK EdTech staff augmentation requires engineers who understand UK education sector context. Key profiles: (1) LMS (Learning Management System) engineer — Canvas API, Moodle developer, Blackboard Learn Ultra experience. (2) MIS integration engineer — Bromcom, Arbor, SIMS API experience for UK school data integration. (3) AADC compliance engineer — UK ICO Age Appropriate Design Code implementation (the UK-specific children's privacy standard), under-18 consent flows. (4) SCORM/xAPI engineer — e-learning standards for content delivery and tracking. (5) Video platform engineer — Mux, Wistia, or Vimeo API for video-based learning.</w:t>
      </w:r>
    </w:p>
    <w:p>
      <w:pPr>
        <w:spacing w:after="60" w:before="60"/>
      </w:pPr>
    </w:p>
    <w:p>
      <w:pPr>
        <w:spacing w:after="160" w:before="100"/>
      </w:pPr>
      <w:r>
        <w:rPr>
          <w:rFonts w:ascii="Arial" w:cs="Arial" w:eastAsia="Arial" w:hAnsi="Arial"/>
          <w:b/>
          <w:bCs/>
          <w:i w:val="false"/>
          <w:iCs w:val="false"/>
          <w:color w:val="E8612A"/>
          <w:sz w:val="22"/>
          <w:szCs w:val="22"/>
        </w:rPr>
        <w:t xml:space="preserve">UK Exam Board and Awarding Organisation Integrations: </w:t>
      </w:r>
      <w:r>
        <w:rPr>
          <w:rFonts w:ascii="Arial" w:cs="Arial" w:eastAsia="Arial" w:hAnsi="Arial"/>
          <w:b w:val="false"/>
          <w:bCs w:val="false"/>
          <w:i w:val="false"/>
          <w:iCs w:val="false"/>
          <w:color w:val="1A2332"/>
          <w:sz w:val="22"/>
          <w:szCs w:val="22"/>
        </w:rPr>
        <w:t xml:space="preserve">UK awarding organisations: AQA, OCR, Pearson Edexcel, WJEC, SQA (Scotland), CCEA (Northern Ireland). EdTech platforms integrating with awarding organisations: (1) candidate registration (submitting candidate entries for examinations — AQA EDI format), (2) results ingestion (receiving examination results in A2C format — A-levels, GCSEs), (3) certificate verification (Ofqual register lookup). ClickMasters staff augmentation: engineers with AQA/OCR EDI and A2C format experience are very rare — most EdTech engineers have never worked with UK exam board data feeds. ClickMasters maintains a pool of engineers with A2C and EDI experience for EdTech staff augmentation.</w:t>
      </w:r>
    </w:p>
    <w:p>
      <w:pPr>
        <w:spacing w:after="60" w:before="60"/>
      </w:pPr>
    </w:p>
    <w:p>
      <w:pPr>
        <w:spacing w:after="160" w:before="100"/>
      </w:pPr>
      <w:r>
        <w:rPr>
          <w:rFonts w:ascii="Arial" w:cs="Arial" w:eastAsia="Arial" w:hAnsi="Arial"/>
          <w:b/>
          <w:bCs/>
          <w:i w:val="false"/>
          <w:iCs w:val="false"/>
          <w:color w:val="E8612A"/>
          <w:sz w:val="22"/>
          <w:szCs w:val="22"/>
        </w:rPr>
        <w:t xml:space="preserve">DfE Data Standards for EdTech Staff Augmentation: </w:t>
      </w:r>
      <w:r>
        <w:rPr>
          <w:rFonts w:ascii="Arial" w:cs="Arial" w:eastAsia="Arial" w:hAnsi="Arial"/>
          <w:b w:val="false"/>
          <w:bCs w:val="false"/>
          <w:i w:val="false"/>
          <w:iCs w:val="false"/>
          <w:color w:val="1A2332"/>
          <w:sz w:val="22"/>
          <w:szCs w:val="22"/>
        </w:rPr>
        <w:t xml:space="preserve">DfE (Department for Education) data standards affect all UK EdTech: (1) UPN (Unique Pupil Number) — every state school pupil has a UPN, used for data matching across systems. (2) ULN (Unique Learner Number) — post-16 learners, further education. (3) UKPRN (UK Provider Reference Number) — every education provider registered with UKRLP. (4) ILR (Individualised Learner Record) — further education and apprenticeship data return. Engineers without DfE data standards familiarity cannot build EdTech integrations with the education data infrastructure. ClickMasters EdTech engineers are DfE data standards-trained as standard.</w:t>
      </w:r>
    </w:p>
    <w:p>
      <w:pPr>
        <w:spacing w:after="60" w:before="60"/>
      </w:pPr>
    </w:p>
    <w:p>
      <w:pPr>
        <w:spacing w:after="160" w:before="100"/>
      </w:pPr>
      <w:r>
        <w:rPr>
          <w:rFonts w:ascii="Arial" w:cs="Arial" w:eastAsia="Arial" w:hAnsi="Arial"/>
          <w:b/>
          <w:bCs/>
          <w:i w:val="false"/>
          <w:iCs w:val="false"/>
          <w:color w:val="E8612A"/>
          <w:sz w:val="22"/>
          <w:szCs w:val="22"/>
        </w:rPr>
        <w:t xml:space="preserve">Safeguarding and Prevent in EdTech Staff Augmentation: </w:t>
      </w:r>
      <w:r>
        <w:rPr>
          <w:rFonts w:ascii="Arial" w:cs="Arial" w:eastAsia="Arial" w:hAnsi="Arial"/>
          <w:b w:val="false"/>
          <w:bCs w:val="false"/>
          <w:i w:val="false"/>
          <w:iCs w:val="false"/>
          <w:color w:val="1A2332"/>
          <w:sz w:val="22"/>
          <w:szCs w:val="22"/>
        </w:rPr>
        <w:t xml:space="preserve">UK safeguarding in EdTech: (1) Prevent duty (Counter-Terrorism and Security Act 2015): schools must prevent radicalisation — EdTech platforms accessible in schools must have content filtering and monitoring. (2) UK online safety: KCSIE (Keeping Children Safe in Education) guidance — schools must ensure EdTech suppliers have appropriate safeguarding policies. (3) DBS check: staff augmentation engineers working on EdTech platforms with access to child data may require enhanced DBS (Disclosure and Barring Service) clearance. ClickMasters can arrange DBS clearance for EdTech staff augmentation if required by client.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ICO AADC, UK GDPR, DfE standards, PSBAR WCAG 2.1 AA, Cyber Essentials, Ofqual</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EdTech 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EdTech integrations require specialist UK knowledge?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UK-specific EdTech integrations requiring specialist knowledge: (1) School MIS APIs (Bromcom, Arbor, SIMS) — used by 99% of UK state schools, unique to UK, (2) Awarding Organisation data feeds (AQA/OCR A2C, EDI format — UK exam results delivery), (3) DfE data standards (UPN, ULN, UKPRN, ILR) — UK education data infrastructure, (4) GOV.UK Notify for school communications, (5) OFSTED data feeds (school performance data). ClickMasters maintains pre-vetted engineers with all 5 UK-specific EdTech integration skills — very few EdTech engineers in the UK market have experience across all five.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EdTech staff augmentation onboarding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EdTech staff augmentation onboarding: Week 1: education sector orientation (DfE data standards, AADC, safeguarding), codebase onboarding. Week 2: first sprint with EdTech-specific tasks (MIS integration, SCORM player, accessibility audit). Week 3–4: independent delivery of EdTech features. For engineers with prior EdTech experience: 1–2 week ramp-up. For experienced engineers new to EdTech: 3–4 week ramp-up. ClickMasters EdTech staff augmentation: we prefer engineers with prior EdTech experience for direct engagements, but will onboard experienced engineers for longer-term augmentations.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EdTech Software Development UK: /edtech-software-development/</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pStyle w:val="ListParagraph"/>
        <w:numPr>
          <w:ilvl w:val="0"/>
          <w:numId w:val="2"/>
        </w:numPr>
        <w:spacing w:after="60" w:before="60"/>
      </w:pPr>
      <w:r>
        <w:rPr>
          <w:rFonts w:ascii="Arial" w:cs="Arial" w:eastAsia="Arial" w:hAnsi="Arial"/>
          <w:color w:val="1A4A8A"/>
          <w:sz w:val="22"/>
          <w:szCs w:val="22"/>
        </w:rPr>
        <w:t xml:space="preserve">ICO AADC Guide UK: /ico-aadc-childrens-code-guide/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EdTech Staff Augmentation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EdTech Team</w:t>
            </w:r>
          </w:p>
          <w:p>
            <w:pPr>
              <w:spacing w:after="80" w:before="0"/>
            </w:pPr>
            <w:r>
              <w:rPr>
                <w:rFonts w:ascii="Arial" w:cs="Arial" w:eastAsia="Arial" w:hAnsi="Arial"/>
                <w:b/>
                <w:bCs/>
                <w:color w:val="E8612A"/>
                <w:sz w:val="20"/>
                <w:szCs w:val="20"/>
              </w:rPr>
              <w:t xml:space="preserve">EdTech specialists</w:t>
            </w:r>
          </w:p>
          <w:p>
            <w:pPr>
              <w:spacing w:after="0" w:before="0"/>
            </w:pPr>
            <w:r>
              <w:rPr>
                <w:rFonts w:ascii="Arial" w:cs="Arial" w:eastAsia="Arial" w:hAnsi="Arial"/>
                <w:color w:val="1A2332"/>
                <w:sz w:val="20"/>
                <w:szCs w:val="20"/>
              </w:rPr>
              <w:t xml:space="preserve">Delivering Staff Augmentation for UK EdTech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"edtech staff augmentation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2026-06-02T07:58:20.273Z</dcterms:created>
  <dcterms:modified xsi:type="dcterms:W3CDTF">2026-06-02T07:58:20.273Z</dcterms:modified>
</cp:coreProperties>
</file>

<file path=docProps/custom.xml><?xml version="1.0" encoding="utf-8"?>
<Properties xmlns="http://schemas.openxmlformats.org/officeDocument/2006/custom-properties" xmlns:vt="http://schemas.openxmlformats.org/officeDocument/2006/docPropsVTypes"/>
</file>