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for HealthTech Companies UK | ClickMasters
META DESC: SaaS Development for UK HealthTech businesses. DTAC. £50,000–£200,000. Free consultation.
SLUG: /healthtech-saas-development/
SCHEMA: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HealthTech &amp; SaaS Development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HealthTech Software Development</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for HealthTech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HealthTech Companies — DTAC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Specialists</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DTAC</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£50,000–£200,000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specifically for UK HealthTech businesses — with DTAC,  DSP Toolkit compliance built into every project from the architecture phase. Our HealthTech team understands the regulatory requirements, data architecture constraints, and sector-specific integration needs of UK HealthTech software.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What SaaS Development for HealthTech Means in the UK</w:t>
            </w:r>
          </w:p>
        </w:tc>
      </w:tr>
    </w:tbl>
    <w:p>
      <w:pPr>
        <w:spacing w:after="60" w:before="60"/>
      </w:pPr>
    </w:p>
    <w:p>
      <w:pPr>
        <w:spacing w:after="160" w:before="100"/>
      </w:pPr>
      <w:r>
        <w:rPr>
          <w:rFonts w:ascii="Arial" w:cs="Arial" w:eastAsia="Arial" w:hAnsi="Arial"/>
          <w:b/>
          <w:bCs/>
          <w:i w:val="false"/>
          <w:iCs w:val="false"/>
          <w:color w:val="E8612A"/>
          <w:sz w:val="22"/>
          <w:szCs w:val="22"/>
        </w:rPr>
        <w:t xml:space="preserve">Multi-Tenant Health Data Isolation: </w:t>
      </w:r>
      <w:r>
        <w:rPr>
          <w:rFonts w:ascii="Arial" w:cs="Arial" w:eastAsia="Arial" w:hAnsi="Arial"/>
          <w:b w:val="false"/>
          <w:bCs w:val="false"/>
          <w:i w:val="false"/>
          <w:iCs w:val="false"/>
          <w:color w:val="1A2332"/>
          <w:sz w:val="22"/>
          <w:szCs w:val="22"/>
        </w:rPr>
        <w:t xml:space="preserve">Each NHS organisation or clinical team must have complete data isolation. Separate database per tenant is the recommended architecture for HealthTech SaaS — shared schema is generally not appropriate for health data due to GDPR Article 9 and DSP Toolkit requirements.</w:t>
      </w:r>
    </w:p>
    <w:p>
      <w:pPr>
        <w:spacing w:after="60" w:before="60"/>
      </w:pPr>
    </w:p>
    <w:p>
      <w:pPr>
        <w:spacing w:after="160" w:before="100"/>
      </w:pPr>
      <w:r>
        <w:rPr>
          <w:rFonts w:ascii="Arial" w:cs="Arial" w:eastAsia="Arial" w:hAnsi="Arial"/>
          <w:b/>
          <w:bCs/>
          <w:i w:val="false"/>
          <w:iCs w:val="false"/>
          <w:color w:val="E8612A"/>
          <w:sz w:val="22"/>
          <w:szCs w:val="22"/>
        </w:rPr>
        <w:t xml:space="preserve">DSP Toolkit as SaaS Provider: </w:t>
      </w:r>
      <w:r>
        <w:rPr>
          <w:rFonts w:ascii="Arial" w:cs="Arial" w:eastAsia="Arial" w:hAnsi="Arial"/>
          <w:b w:val="false"/>
          <w:bCs w:val="false"/>
          <w:i w:val="false"/>
          <w:iCs w:val="false"/>
          <w:color w:val="1A2332"/>
          <w:sz w:val="22"/>
          <w:szCs w:val="22"/>
        </w:rPr>
        <w:t xml:space="preserve">HealthTech SaaS companies whose platform is used by NHS organisations must complete the DSP Toolkit to support their NHS customer's own DSP Toolkit compliance. The SaaS architecture must support NHS Data Security Standards.</w:t>
      </w:r>
    </w:p>
    <w:p>
      <w:pPr>
        <w:spacing w:after="60" w:before="60"/>
      </w:pPr>
    </w:p>
    <w:p>
      <w:pPr>
        <w:spacing w:after="160" w:before="100"/>
      </w:pPr>
      <w:r>
        <w:rPr>
          <w:rFonts w:ascii="Arial" w:cs="Arial" w:eastAsia="Arial" w:hAnsi="Arial"/>
          <w:b/>
          <w:bCs/>
          <w:i w:val="false"/>
          <w:iCs w:val="false"/>
          <w:color w:val="E8612A"/>
          <w:sz w:val="22"/>
          <w:szCs w:val="22"/>
        </w:rPr>
        <w:t xml:space="preserve">FHIR R4 API Layer: </w:t>
      </w:r>
      <w:r>
        <w:rPr>
          <w:rFonts w:ascii="Arial" w:cs="Arial" w:eastAsia="Arial" w:hAnsi="Arial"/>
          <w:b w:val="false"/>
          <w:bCs w:val="false"/>
          <w:i w:val="false"/>
          <w:iCs w:val="false"/>
          <w:color w:val="1A2332"/>
          <w:sz w:val="22"/>
          <w:szCs w:val="22"/>
        </w:rPr>
        <w:t xml:space="preserve">NHS-connected HealthTech SaaS should expose a FHIR R4 API to enable integration with existing NHS systems — not just proprietary APIs that create NHS integration debt.</w:t>
      </w:r>
    </w:p>
    <w:p>
      <w:pPr>
        <w:spacing w:after="60" w:before="60"/>
      </w:pPr>
    </w:p>
    <w:p>
      <w:pPr>
        <w:spacing w:after="160" w:before="100"/>
      </w:pPr>
      <w:r>
        <w:rPr>
          <w:rFonts w:ascii="Arial" w:cs="Arial" w:eastAsia="Arial" w:hAnsi="Arial"/>
          <w:b/>
          <w:bCs/>
          <w:i w:val="false"/>
          <w:iCs w:val="false"/>
          <w:color w:val="E8612A"/>
          <w:sz w:val="22"/>
          <w:szCs w:val="22"/>
        </w:rPr>
        <w:t xml:space="preserve">WCAG 2.1 for Clinical Users: </w:t>
      </w:r>
      <w:r>
        <w:rPr>
          <w:rFonts w:ascii="Arial" w:cs="Arial" w:eastAsia="Arial" w:hAnsi="Arial"/>
          <w:b w:val="false"/>
          <w:bCs w:val="false"/>
          <w:i w:val="false"/>
          <w:iCs w:val="false"/>
          <w:color w:val="1A2332"/>
          <w:sz w:val="22"/>
          <w:szCs w:val="22"/>
        </w:rPr>
        <w:t xml:space="preserve">Clinical software used in NHS settings must meet WCAG 2.1 AA. Clinicians include staff with visual, motor, or cognitive impairments. Mobile accessibility is critical for ward-based and community health team use.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Compliance built in: DTAC, DSP Toolkit, UK GDPR Article 9, Multi-tenancy with health data isolation</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for HealthTech — UK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Project 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HealthTech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DTAC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£50,000–£200,000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Scope + fixed-price proposal for HealthTech SaaS Development</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HealthTech SaaS be used across multiple NHS Trusts?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multi-tenant HealthTech SaaS can serve multiple NHS Trusts, but each Trust must complete their own DSP Toolkit assessment which references your platform. Your DSP Toolkit completion (as supplier) is a prerequisite. NHS organisations require separate data environments — shared database single-tenant or separate database per tenant architecture required.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is HealthTech SaaS pricing different?</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HealthTech SaaS costs 20–40% more than equivalent non-regulated SaaS due to: Cyber Essentials Plus (£5,000–£15,000), DTAC compliance (£15,000–£40,000+), CREST penetration testing (£5,000–£15,000/year), FHIR R4 implementation, and DSP Toolkit ongoing compliance. These are recurring compliance costs that must be built into your SaaS pricing model.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HealthTech Software Development UK: /healthtech-software-development/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DTAC Compliance Guide: /dtac-compliance-guide/</w:t>
      </w:r>
    </w:p>
    <w:p>
      <w:pPr>
        <w:pStyle w:val="ListParagraph"/>
        <w:numPr>
          <w:ilvl w:val="0"/>
          <w:numId w:val="2"/>
        </w:numPr>
        <w:spacing w:after="60" w:before="60"/>
      </w:pPr>
      <w:r>
        <w:rPr>
          <w:rFonts w:ascii="Arial" w:cs="Arial" w:eastAsia="Arial" w:hAnsi="Arial"/>
          <w:b w:val="false"/>
          <w:bCs w:val="false"/>
          <w:color w:val="1A2332"/>
          <w:sz w:val="22"/>
          <w:szCs w:val="22"/>
        </w:rPr>
        <w:t xml:space="preserve">FHIR R4 Integration Guide: /fhir-r4-integration-guide/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Your HealthTech SaaS Development — Free Consultation</w:t>
            </w:r>
          </w:p>
          <w:p>
            <w:pPr>
              <w:spacing w:after="160" w:before="0"/>
            </w:pPr>
            <w:r>
              <w:rPr>
                <w:rFonts w:ascii="Arial" w:cs="Arial" w:eastAsia="Arial" w:hAnsi="Arial"/>
                <w:color w:val="BDD0E8"/>
                <w:sz w:val="22"/>
                <w:szCs w:val="22"/>
              </w:rPr>
              <w:t xml:space="preserve">Free 45-minute consultation with a HealthTech specialist. Cost estimate and compliance roadmap at no charge.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HealthTech SaaS Development Team</w:t>
            </w:r>
          </w:p>
          <w:p>
            <w:pPr>
              <w:spacing w:after="80" w:before="0"/>
            </w:pPr>
            <w:r>
              <w:rPr>
                <w:rFonts w:ascii="Arial" w:cs="Arial" w:eastAsia="Arial" w:hAnsi="Arial"/>
                <w:b/>
                <w:bCs/>
                <w:color w:val="E8612A"/>
                <w:sz w:val="20"/>
                <w:szCs w:val="20"/>
              </w:rPr>
              <w:t xml:space="preserve">HealthTech software specialists — DTAC,  DSP Toolkit</w:t>
            </w:r>
          </w:p>
          <w:p>
            <w:pPr>
              <w:spacing w:after="0" w:before="0"/>
            </w:pPr>
            <w:r>
              <w:rPr>
                <w:rFonts w:ascii="Arial" w:cs="Arial" w:eastAsia="Arial" w:hAnsi="Arial"/>
                <w:color w:val="1A2332"/>
                <w:sz w:val="20"/>
                <w:szCs w:val="20"/>
              </w:rPr>
              <w:t xml:space="preserve">ClickMasters delivers SaaS Development for UK HealthTech businesses with full compliance architecture from day one.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Service + FAQPage + BreadcrumbList | "healthtech saas development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2026-05-21T16:31:29.008Z</dcterms:created>
  <dcterms:modified xsi:type="dcterms:W3CDTF">2026-05-21T16:31:29.008Z</dcterms:modified>
</cp:coreProperties>
</file>

<file path=docProps/custom.xml><?xml version="1.0" encoding="utf-8"?>
<Properties xmlns="http://schemas.openxmlformats.org/officeDocument/2006/custom-properties" xmlns:vt="http://schemas.openxmlformats.org/officeDocument/2006/docPropsVTypes"/>
</file>