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GDPR Data Residency — AWS &amp; Azure UK Regions Explained | ClickMasters
META DESC: UK GDPR data residency explained for software developers. AWS eu-west-2 vs Azure UK South. International transfer rules, adequacy decisions, IDTA. How ClickMasters ensures UK data stays in the UK.
SLUG: /data-residency-uk-gdpr/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Data Protection Team  |  Reviewed by: ICO-registered DPO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GDPR Data Residency</w:t>
      </w:r>
    </w:p>
    <w:p>
      <w:pPr>
        <w:spacing w:after="60" w:before="60"/>
      </w:pPr>
    </w:p>
    <w:p>
      <w:pPr>
        <w:pStyle w:val="Heading1"/>
        <w:spacing w:after="160" w:before="360"/>
      </w:pPr>
      <w:r>
        <w:rPr>
          <w:rFonts w:ascii="Arial" w:cs="Arial" w:eastAsia="Arial" w:hAnsi="Arial"/>
          <w:b/>
          <w:bCs/>
          <w:color w:val="0B1F3A"/>
          <w:sz w:val="40"/>
          <w:szCs w:val="40"/>
        </w:rPr>
        <w:t xml:space="preserve">UK GDPR Data Residency — AWS &amp; Azure UK Regions, International Transfers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 Art.44–49</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AWS eu-west-2</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Azure UK South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IDTA</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ICO Guidance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Post-Brexit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GDPR Chapter V restricts the transfer of personal data to countries outside the UK unless adequate protections are in place. "Data residency" — keeping personal data on servers within the UK — is the simplest way to comply. For cloud-hosted software, this means choosing AWS eu-west-2 (London) or Azure UK South/West as your primary region. Transfers to third-party SaaS tools (even well-known ones like Salesforce, AWS us-east-1, or Mailchimp) constitute international transfers and require a transfer mechanism. ClickMasters builds all UK client software on UK-region cloud infrastructure by default.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Chapter V — The International Transfer Framework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Under UK GDPR, a "restricted transfer" occurs when you transfer personal data to a country outside the UK that has not been deemed adequate by the UK Secretary of State. "Transfer" includes storing data on overseas servers, using a foreign SaaS provider, or sending personal data to a team member in a non-adequate country.</w:t>
      </w:r>
    </w:p>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Three mechanisms allow international transfers to proceed lawfully: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Adequacy Decision</w:t>
            </w:r>
          </w:p>
          <w:p>
            <w:pPr>
              <w:spacing w:after="0" w:before="0"/>
            </w:pPr>
            <w:r>
              <w:rPr>
                <w:rFonts w:ascii="Arial" w:cs="Arial" w:eastAsia="Arial" w:hAnsi="Arial"/>
                <w:color w:val="1A2332"/>
                <w:sz w:val="22"/>
                <w:szCs w:val="22"/>
              </w:rPr>
              <w:t xml:space="preserve">The UK has deemed certain countries "adequate" — meaning their data protection framework provides equivalent protection to UK GDPR. Current UK adequacy decisions include: EU/EEA (subject to renewal risk), Switzerland, New Zealand, Canada (commercial). USA: no blanket adequacy — the UK-US Data Bridge covers specific US organisations that self-certify.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UK International Data Transfer Agreement (IDTA)</w:t>
            </w:r>
          </w:p>
          <w:p>
            <w:pPr>
              <w:spacing w:after="0" w:before="0"/>
            </w:pPr>
            <w:r>
              <w:rPr>
                <w:rFonts w:ascii="Arial" w:cs="Arial" w:eastAsia="Arial" w:hAnsi="Arial"/>
                <w:color w:val="1A2332"/>
                <w:sz w:val="22"/>
                <w:szCs w:val="22"/>
              </w:rPr>
              <w:t xml:space="preserve">The UK's replacement for EU Standard Contractual Clauses post-Brexit. The IDTA is a contractual mechanism that can be used when transferring to a non-adequate country. It imposes data protection obligations on the recipient equivalent to UK GDPR. All UK businesses transferring data to non-adequate countries (e.g., India, most of Asia, some Middle East) should have IDTAs in place with receiving organisations.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UK Addendum to EU SCCs</w:t>
            </w:r>
          </w:p>
          <w:p>
            <w:pPr>
              <w:spacing w:after="0" w:before="0"/>
            </w:pPr>
            <w:r>
              <w:rPr>
                <w:rFonts w:ascii="Arial" w:cs="Arial" w:eastAsia="Arial" w:hAnsi="Arial"/>
                <w:color w:val="1A2332"/>
                <w:sz w:val="22"/>
                <w:szCs w:val="22"/>
              </w:rPr>
              <w:t xml:space="preserve">Where a transfer uses EU Standard Contractual Clauses, a UK Addendum can adapt them for UK GDPR compliance. Useful for organisations operating in both UK and EU markets — avoids maintaining two separate transfer agreements.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AWS and Azure UK Regions — Data Residency 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Service/Aspect</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eu-west-2 (London)</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Azure UK South (London) &amp; UK West (Cardiff)</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Region location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London, England</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London + Cardiff, Wales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data in UK — no international transfer</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data in UK — no international transfer</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Disaster recovery option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eu-west-1 (Ireland) — EU GDPR adequate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West (Cardiff) — stays within UK</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NHS/Gov workloads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Used by many NHS organisations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England Azure Landing Zone standard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Core services coverage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EC2, RDS, S3, Lambda, EKS — all eu-west-2 available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core services all UK South/West available</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CDN data residency risk</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CloudFront edge nodes global — do NOT cache personal data</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CDN — check per PoP; do NOT cache personal data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AI/ML services UK availability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Amazon Bedrock: check region availability per model</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OpenAI Service: available in UK South from 2024</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Encryption at rest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KMS with CMKs in eu-west-2</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Key Vault in UK South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CEA" w:sz="1"/>
              <w:left w:val="single" w:color="FDECEA" w:sz="1"/>
              <w:bottom w:val="single" w:color="FDECEA" w:sz="1"/>
              <w:right w:val="single" w:color="FDECEA" w:sz="1"/>
            </w:tcBorders>
            <w:shd w:fill="FDECE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C0392B"/>
                <w:sz w:val="22"/>
                <w:szCs w:val="22"/>
              </w:rPr>
              <w:t xml:space="preserve">Critical: Using AWS us-east-1 or any non-UK region for personal data constitutes an international transfer under UK GDPR — even for a trusted US company like AWS. You need either US adequacy (UK-US Data Bridge, for participating organisations) or an IDTA. ClickMasters uses eu-west-2 by default for all UK client projects — this is non-negotiable in our project standards.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Third-Party SaaS and International Transfers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Most software integrates with third-party services — analytics, CRM, email, payments, customer support tools. Each integration where personal data is shared constitutes an international transfer if the recipient is outside the UK. Common examples: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6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HQ Location</w:t>
            </w:r>
          </w:p>
        </w:tc>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Transfer Mechanism Required</w:t>
            </w:r>
          </w:p>
        </w:tc>
        <w:tc>
          <w:tcPr>
            <w:tcW w:type="dxa" w:w="2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Practical Approach</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Stripe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IDTA or UK-US Data Bridge</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Stripe participates in UK-US Data Bridge — check their DPA</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Salesforce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IDTA or UK-US Data Bridge</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Salesforce offers UK-US Data Bridge addendum; use EU data centre option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Google Analytics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IDTA / UK-US Data Bridge</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consent mode + UK Data Bridge; consider server-side tracking</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(us-east-1)</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IDTA or UK-US Data Bridge</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Avoid for UK personal data — use eu-west-2 instead</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HubSpot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IDTA / UK-US Data Bridge</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HubSpot DPA with Data Bridge; or EU data hosting option</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Intercom</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w:t>
            </w:r>
          </w:p>
        </w:tc>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IDTA required</w:t>
            </w:r>
          </w:p>
        </w:tc>
        <w:tc>
          <w:tcPr>
            <w:tcW w:type="dxa" w:w="2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IDTA in place; consider EU data hosting option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Twilio / SendGrid</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USA</w:t>
            </w:r>
          </w:p>
        </w:tc>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IDTA required</w:t>
            </w:r>
          </w:p>
        </w:tc>
        <w:tc>
          <w:tcPr>
            <w:tcW w:type="dxa" w:w="2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IDTA in place with Twilio; check subprocessor list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UK GDPR Data Residency</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data residency the same as data sovereignty?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Data residency refers to the physical location where data is stored. Data sovereignty refers to the legal jurisdiction that governs the data. They overlap but are not identical. UK GDPR requires that transfers outside the UK have adequate protections — using a UK data centre (residency) is the simplest way to achieve this, but the legal jurisdiction (sovereignty) of the cloud provider and its parent company is also relevant. AWS and Microsoft are US companies — even when you use UK regions, US laws (like CLOUD Act) may apply to their US parent companies.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UK-US Data Bridge?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UK-US Data Bridge (formally the UK Extension to the EU-US Data Privacy Framework) allows UK organisations to transfer personal data to US organisations that have self-certified under the framework. It was established in October 2023. Not all US companies have self-certified — check the Data Privacy Framework participant list before relying on this mechanism. Key participants: AWS, Google, Microsoft, Salesforce, Stripe.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EU-UK adequacy decision lapses?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EU-UK adequacy decision (which allows EU-to-UK transfers without additional safeguards) was due for renewal in 2025. If it lapses, EU organisations could no longer freely transfer personal data to UK organisations without SCCs or BCRs. UK organisations building for EU customers should build "dual compliance" into their architecture — supporting both UK GDPR and EU GDPR simultaneously, which ClickMasters recommends for all UK-based SaaS platforms targeting EU markets.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UK GDPR apply to data stored in AWS or Azure UK regions?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applies based on where your users are (UK residents) and where your business is established (UK), not where the data is stored. Storing data in AWS eu-west-2 means the data is physically in the UK and there is no international transfer issue — but UK GDPR still governs how you process, retain, secure, and provide rights over that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Software Development Guide: /uk-gdpr-software-development-guide/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vs EU GDPR: /uk-gdpr-vs-eu-gdpr/</w:t>
      </w:r>
    </w:p>
    <w:p>
      <w:pPr>
        <w:pStyle w:val="ListParagraph"/>
        <w:numPr>
          <w:ilvl w:val="0"/>
          <w:numId w:val="2"/>
        </w:numPr>
        <w:spacing w:after="60" w:before="60"/>
      </w:pPr>
      <w:r>
        <w:rPr>
          <w:rFonts w:ascii="Arial" w:cs="Arial" w:eastAsia="Arial" w:hAnsi="Arial"/>
          <w:b w:val="false"/>
          <w:bCs w:val="false"/>
          <w:color w:val="1A2332"/>
          <w:sz w:val="22"/>
          <w:szCs w:val="22"/>
        </w:rPr>
        <w:t xml:space="preserve">Privacy by Design Software UK: /privacy-by-design-software/</w:t>
      </w:r>
    </w:p>
    <w:p>
      <w:pPr>
        <w:pStyle w:val="ListParagraph"/>
        <w:numPr>
          <w:ilvl w:val="0"/>
          <w:numId w:val="2"/>
        </w:numPr>
        <w:spacing w:after="60" w:before="60"/>
      </w:pPr>
      <w:r>
        <w:rPr>
          <w:rFonts w:ascii="Arial" w:cs="Arial" w:eastAsia="Arial" w:hAnsi="Arial"/>
          <w:b w:val="false"/>
          <w:bCs w:val="false"/>
          <w:color w:val="1A2332"/>
          <w:sz w:val="22"/>
          <w:szCs w:val="22"/>
        </w:rPr>
        <w:t xml:space="preserve">GDPR for SaaS Products UK: /gdpr-saas-products-uk/</w:t>
      </w:r>
    </w:p>
    <w:p>
      <w:pPr>
        <w:pStyle w:val="ListParagraph"/>
        <w:numPr>
          <w:ilvl w:val="0"/>
          <w:numId w:val="2"/>
        </w:numPr>
        <w:spacing w:after="60" w:before="60"/>
      </w:pPr>
      <w:r>
        <w:rPr>
          <w:rFonts w:ascii="Arial" w:cs="Arial" w:eastAsia="Arial" w:hAnsi="Arial"/>
          <w:b w:val="false"/>
          <w:bCs w:val="false"/>
          <w:color w:val="1A2332"/>
          <w:sz w:val="22"/>
          <w:szCs w:val="22"/>
        </w:rPr>
        <w:t xml:space="preserve">AWS Cloud Migration UK: /aws-cloud-migration/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with UK Data Residency from Day One</w:t>
            </w:r>
          </w:p>
          <w:p>
            <w:pPr>
              <w:spacing w:after="160" w:before="0"/>
            </w:pPr>
            <w:r>
              <w:rPr>
                <w:rFonts w:ascii="Arial" w:cs="Arial" w:eastAsia="Arial" w:hAnsi="Arial"/>
                <w:color w:val="BDD0E8"/>
                <w:sz w:val="22"/>
                <w:szCs w:val="22"/>
              </w:rPr>
              <w:t xml:space="preserve">ClickMasters uses AWS eu-west-2 or Azure UK South as default for all UK client projects. Your personal data stays in the UK. Book a free consultation.</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Data Protection Team</w:t>
            </w:r>
          </w:p>
          <w:p>
            <w:pPr>
              <w:spacing w:after="80" w:before="0"/>
            </w:pPr>
            <w:r>
              <w:rPr>
                <w:rFonts w:ascii="Arial" w:cs="Arial" w:eastAsia="Arial" w:hAnsi="Arial"/>
                <w:b/>
                <w:bCs/>
                <w:color w:val="E8612A"/>
                <w:sz w:val="20"/>
                <w:szCs w:val="20"/>
              </w:rPr>
              <w:t xml:space="preserve">UK GDPR international transfers and data residency specialists</w:t>
            </w:r>
          </w:p>
          <w:p>
            <w:pPr>
              <w:spacing w:after="0" w:before="0"/>
            </w:pPr>
            <w:r>
              <w:rPr>
                <w:rFonts w:ascii="Arial" w:cs="Arial" w:eastAsia="Arial" w:hAnsi="Arial"/>
                <w:color w:val="1A2332"/>
                <w:sz w:val="20"/>
                <w:szCs w:val="20"/>
              </w:rPr>
              <w:t xml:space="preserve">This guide has been reviewed by an ICO-registered DPO. ClickMasters builds UK data residency compliance into every project architecture as a non-negotiable default.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Service + FAQPage + BreadcrumbList + Organization
Target keywords: "uk gdpr data residency" (500/mo), "aws eu-west-2 gdpr" (500/mo), "international data transfers uk gdpr"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2026-05-20T15:04:25.212Z</dcterms:created>
  <dcterms:modified xsi:type="dcterms:W3CDTF">2026-05-20T15:04:25.212Z</dcterms:modified>
</cp:coreProperties>
</file>

<file path=docProps/custom.xml><?xml version="1.0" encoding="utf-8"?>
<Properties xmlns="http://schemas.openxmlformats.org/officeDocument/2006/custom-properties" xmlns:vt="http://schemas.openxmlformats.org/officeDocument/2006/docPropsVTypes"/>
</file>