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Brussels | UK Agency | ClickMasters
META DESC: ClickMasters provides Custom Software Development for Brussels-based businesses. EU GDPR compliance. Free consultation.
SLUG: /custom-software-development-brussels/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EU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Development Brussels</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Brussels — UK-Based Agency, EU GDPR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Brussels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 EU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Belgium / EU Institutions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is a UK-based software development company serving Brussels and Belgium / EU Institutions businesses with dual UK GDPR and EU GDPR compliance. Belgium DPA (GBA) + EU Institutions data protection regimes requirements satisfied. EUR invoicing available.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Brussels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Brussels is unique as both Belgium's capital and the de facto capital of the European Union — home to the European Commission, European Parliament, NATO, and hundreds of EU institutions and lobbying organisations. This creates significant demand for EU regulatory technology, compliance software, public affairs tools, and EU procurement technology.</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European Commission DG CONNECT, NATO Communications, Deloitte Brussels, McKinsey Brussels, Linklaters Brussels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EU GDPR — Belgium's DPA (Data Protection Authority Belgium / GBA) is the lead DPA for many EU institutions. Brussels businesses are at the heart of EU regulatory change — GDPR, AI Act, Data Governance Act, Digital Services Act. EU institution suppliers face additional procurement and security requirements.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These Businesses Use ClickMasters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UK-based engineers — no visa restrictions for EU visits.</w:t>
      </w:r>
    </w:p>
    <w:p>
      <w:pPr>
        <w:pStyle w:val="ListParagraph"/>
        <w:numPr>
          <w:ilvl w:val="0"/>
          <w:numId w:val="2"/>
        </w:numPr>
        <w:spacing w:after="60" w:before="60"/>
      </w:pPr>
      <w:r>
        <w:rPr>
          <w:rFonts w:ascii="Arial" w:cs="Arial" w:eastAsia="Arial" w:hAnsi="Arial"/>
          <w:b w:val="false"/>
          <w:bCs w:val="false"/>
          <w:color w:val="1A2332"/>
          <w:sz w:val="22"/>
          <w:szCs w:val="22"/>
        </w:rPr>
        <w:t xml:space="preserve">Dual UK GDPR + EU GDPR compliance as standard.</w:t>
      </w:r>
    </w:p>
    <w:p>
      <w:pPr>
        <w:pStyle w:val="ListParagraph"/>
        <w:numPr>
          <w:ilvl w:val="0"/>
          <w:numId w:val="2"/>
        </w:numPr>
        <w:spacing w:after="60" w:before="60"/>
      </w:pPr>
      <w:r>
        <w:rPr>
          <w:rFonts w:ascii="Arial" w:cs="Arial" w:eastAsia="Arial" w:hAnsi="Arial"/>
          <w:b w:val="false"/>
          <w:bCs w:val="false"/>
          <w:color w:val="1A2332"/>
          <w:sz w:val="22"/>
          <w:szCs w:val="22"/>
        </w:rPr>
        <w:t xml:space="preserve">EUR invoicing — no currency risk.</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risk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work with Brussels-based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we deliver remotely and can visit Brussels for workshops. No visa restrictions for our UK-based engineers.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comply with EU GDPR for Brussels clients?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dual UK GDPR and EU GDPR compliance built into all European projects. EU data residency options (AWS eu-west-1 Ireland, eu-central-1 Frankfurt, Azure Netherlands). EUR invoicing with reverse charge VAT.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UK vs Offshore: /uk-vs-offshore-software-development/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for Brussels Businesses</w:t>
            </w:r>
          </w:p>
          <w:p>
            <w:pPr>
              <w:spacing w:after="160" w:before="0"/>
            </w:pPr>
            <w:r>
              <w:rPr>
                <w:rFonts w:ascii="Arial" w:cs="Arial" w:eastAsia="Arial" w:hAnsi="Arial"/>
                <w:color w:val="BDD0E8"/>
                <w:sz w:val="22"/>
                <w:szCs w:val="22"/>
              </w:rPr>
              <w:t xml:space="preserve">EU GDPR compliance built in. EUR invoicing available.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EU Team</w:t>
            </w:r>
          </w:p>
          <w:p>
            <w:pPr>
              <w:spacing w:after="80" w:before="0"/>
            </w:pPr>
            <w:r>
              <w:rPr>
                <w:rFonts w:ascii="Arial" w:cs="Arial" w:eastAsia="Arial" w:hAnsi="Arial"/>
                <w:b/>
                <w:bCs/>
                <w:color w:val="E8612A"/>
                <w:sz w:val="20"/>
                <w:szCs w:val="20"/>
              </w:rPr>
              <w:t xml:space="preserve">UK-based, EU GDPR specialists</w:t>
            </w:r>
          </w:p>
          <w:p>
            <w:pPr>
              <w:spacing w:after="0" w:before="0"/>
            </w:pPr>
            <w:r>
              <w:rPr>
                <w:rFonts w:ascii="Arial" w:cs="Arial" w:eastAsia="Arial" w:hAnsi="Arial"/>
                <w:color w:val="1A2332"/>
                <w:sz w:val="20"/>
                <w:szCs w:val="20"/>
              </w:rPr>
              <w:t xml:space="preserve">ClickMasters serves European businesses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"custom software development brussels" (~50/mo)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2026-05-23T06:31:41.081Z</dcterms:created>
  <dcterms:modified xsi:type="dcterms:W3CDTF">2026-05-23T06:31:41.081Z</dcterms:modified>
</cp:coreProperties>
</file>

<file path=docProps/custom.xml><?xml version="1.0" encoding="utf-8"?>
<Properties xmlns="http://schemas.openxmlformats.org/officeDocument/2006/custom-properties" xmlns:vt="http://schemas.openxmlformats.org/officeDocument/2006/docPropsVTypes"/>
</file>